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68B7" w14:textId="77777777" w:rsidR="00DD7786" w:rsidRDefault="00DD7786" w:rsidP="00593273">
      <w:pPr>
        <w:rPr>
          <w:rFonts w:ascii="Trebuchet MS" w:hAnsi="Trebuchet MS"/>
          <w:b/>
          <w:sz w:val="20"/>
          <w:szCs w:val="20"/>
        </w:rPr>
      </w:pPr>
    </w:p>
    <w:p w14:paraId="22D893FC" w14:textId="77777777" w:rsidR="0096027B" w:rsidRDefault="0096027B" w:rsidP="0096027B">
      <w:pPr>
        <w:pStyle w:val="Heading5"/>
      </w:pPr>
      <w:r>
        <w:t xml:space="preserve">Introduction </w:t>
      </w:r>
    </w:p>
    <w:p w14:paraId="69B1E3DD" w14:textId="77777777" w:rsidR="0096027B" w:rsidRDefault="0096027B" w:rsidP="0096027B">
      <w:bookmarkStart w:id="0" w:name="_Toc520217559"/>
      <w:r>
        <w:t>Body Worn Video (BWV) is an overt method by which our enforcement officers can obtain and secure evidence in relation to environmental crime offences.</w:t>
      </w:r>
      <w:bookmarkEnd w:id="0"/>
    </w:p>
    <w:p w14:paraId="687F93C3" w14:textId="77777777" w:rsidR="0096027B" w:rsidRDefault="0096027B" w:rsidP="0096027B">
      <w:pPr>
        <w:spacing w:before="280" w:after="120" w:line="300" w:lineRule="atLeast"/>
        <w:outlineLvl w:val="1"/>
      </w:pPr>
      <w:bookmarkStart w:id="1" w:name="_Toc520217560"/>
      <w:r>
        <w:t>This document is intended to enable our staff to comply with legislation and guidance to create evidence suitable for use ultimately in court proceedings if required.</w:t>
      </w:r>
      <w:bookmarkEnd w:id="1"/>
      <w:r>
        <w:t xml:space="preserve">  </w:t>
      </w:r>
    </w:p>
    <w:p w14:paraId="01549110" w14:textId="77777777" w:rsidR="0096027B" w:rsidRDefault="0096027B" w:rsidP="0096027B">
      <w:pPr>
        <w:spacing w:before="280" w:after="120" w:line="300" w:lineRule="atLeast"/>
        <w:outlineLvl w:val="1"/>
      </w:pPr>
      <w:bookmarkStart w:id="2" w:name="_Toc520217561"/>
      <w:r>
        <w:t>In addition to providing compelling supportive evidence for court it has been found that BWV can furnish other benefits such as:</w:t>
      </w:r>
      <w:bookmarkEnd w:id="2"/>
      <w:r>
        <w:t xml:space="preserve"> </w:t>
      </w:r>
    </w:p>
    <w:p w14:paraId="244DB189" w14:textId="77777777" w:rsidR="0096027B" w:rsidRPr="00DA6432" w:rsidRDefault="0096027B" w:rsidP="0096027B">
      <w:pPr>
        <w:pStyle w:val="ListParagraph"/>
        <w:numPr>
          <w:ilvl w:val="0"/>
          <w:numId w:val="42"/>
        </w:numPr>
        <w:spacing w:before="280" w:after="120" w:line="300" w:lineRule="atLeast"/>
        <w:outlineLvl w:val="1"/>
        <w:rPr>
          <w:rFonts w:ascii="Calibri" w:hAnsi="Calibri"/>
          <w:color w:val="000000"/>
          <w:sz w:val="22"/>
          <w:szCs w:val="20"/>
        </w:rPr>
      </w:pPr>
      <w:bookmarkStart w:id="3" w:name="_Toc520217562"/>
      <w:r>
        <w:t>Deterring acts of aggression and violence against our staff,</w:t>
      </w:r>
      <w:bookmarkEnd w:id="3"/>
    </w:p>
    <w:p w14:paraId="53A09A61" w14:textId="77777777" w:rsidR="0096027B" w:rsidRPr="00DA6432" w:rsidRDefault="0096027B" w:rsidP="0096027B">
      <w:pPr>
        <w:pStyle w:val="ListParagraph"/>
        <w:numPr>
          <w:ilvl w:val="0"/>
          <w:numId w:val="42"/>
        </w:numPr>
        <w:spacing w:before="280" w:after="120" w:line="300" w:lineRule="atLeast"/>
        <w:outlineLvl w:val="1"/>
        <w:rPr>
          <w:rFonts w:ascii="Calibri" w:hAnsi="Calibri"/>
          <w:color w:val="000000"/>
          <w:sz w:val="22"/>
          <w:szCs w:val="20"/>
        </w:rPr>
      </w:pPr>
      <w:bookmarkStart w:id="4" w:name="_Toc520217563"/>
      <w:r>
        <w:t>Raising standards of service,</w:t>
      </w:r>
      <w:bookmarkEnd w:id="4"/>
    </w:p>
    <w:p w14:paraId="534F56C3" w14:textId="77777777" w:rsidR="0096027B" w:rsidRPr="00DA6432" w:rsidRDefault="0096027B" w:rsidP="0096027B">
      <w:pPr>
        <w:pStyle w:val="ListParagraph"/>
        <w:numPr>
          <w:ilvl w:val="0"/>
          <w:numId w:val="42"/>
        </w:numPr>
        <w:spacing w:before="280" w:after="120" w:line="300" w:lineRule="atLeast"/>
        <w:outlineLvl w:val="1"/>
        <w:rPr>
          <w:rFonts w:ascii="Calibri" w:hAnsi="Calibri"/>
          <w:color w:val="000000"/>
          <w:sz w:val="22"/>
          <w:szCs w:val="20"/>
        </w:rPr>
      </w:pPr>
      <w:bookmarkStart w:id="5" w:name="_Toc520217564"/>
      <w:r>
        <w:t>Provide contemporaneous impartial evidence,</w:t>
      </w:r>
      <w:bookmarkEnd w:id="5"/>
    </w:p>
    <w:p w14:paraId="25C05EFE" w14:textId="77777777" w:rsidR="0096027B" w:rsidRPr="00DA6432" w:rsidRDefault="0096027B" w:rsidP="0096027B">
      <w:pPr>
        <w:pStyle w:val="ListParagraph"/>
        <w:numPr>
          <w:ilvl w:val="0"/>
          <w:numId w:val="42"/>
        </w:numPr>
        <w:spacing w:before="280" w:after="120" w:line="300" w:lineRule="atLeast"/>
        <w:outlineLvl w:val="1"/>
        <w:rPr>
          <w:rFonts w:ascii="Calibri" w:hAnsi="Calibri"/>
          <w:color w:val="000000"/>
          <w:sz w:val="22"/>
          <w:szCs w:val="20"/>
        </w:rPr>
      </w:pPr>
      <w:bookmarkStart w:id="6" w:name="_Toc520217565"/>
      <w:r>
        <w:t>Improve integrity of data,</w:t>
      </w:r>
      <w:bookmarkEnd w:id="6"/>
    </w:p>
    <w:p w14:paraId="53BF5C9B" w14:textId="071CA6B2" w:rsidR="0096027B" w:rsidRPr="000D6C3C" w:rsidRDefault="0096027B" w:rsidP="000D6C3C">
      <w:pPr>
        <w:pStyle w:val="ListParagraph"/>
        <w:numPr>
          <w:ilvl w:val="0"/>
          <w:numId w:val="42"/>
        </w:numPr>
        <w:spacing w:before="280" w:after="120" w:line="300" w:lineRule="atLeast"/>
        <w:outlineLvl w:val="1"/>
        <w:rPr>
          <w:rFonts w:ascii="Calibri" w:hAnsi="Calibri"/>
          <w:color w:val="000000"/>
          <w:sz w:val="22"/>
          <w:szCs w:val="20"/>
        </w:rPr>
      </w:pPr>
      <w:bookmarkStart w:id="7" w:name="_Toc520217566"/>
      <w:r>
        <w:t>Reduce complaints.</w:t>
      </w:r>
      <w:bookmarkEnd w:id="7"/>
      <w:r>
        <w:t xml:space="preserve"> </w:t>
      </w:r>
    </w:p>
    <w:p w14:paraId="6F5095B9" w14:textId="57A5D5EF" w:rsidR="0096027B" w:rsidRDefault="0096027B" w:rsidP="0096027B">
      <w:pPr>
        <w:spacing w:before="280" w:after="120" w:line="300" w:lineRule="atLeast"/>
        <w:jc w:val="both"/>
        <w:outlineLvl w:val="1"/>
      </w:pPr>
      <w:bookmarkStart w:id="8" w:name="_Toc520217567"/>
      <w:r>
        <w:t xml:space="preserve">This document explains the process by which </w:t>
      </w:r>
      <w:r w:rsidR="000D6C3C">
        <w:t xml:space="preserve">Waste Investigations Support &amp; Enforcement (WISE) </w:t>
      </w:r>
      <w:r>
        <w:t>will utilise BWV devices.  It will ensure a consistent and effective system is adopted throughout the organisation, benefiting both members of the public and staff.</w:t>
      </w:r>
      <w:bookmarkEnd w:id="8"/>
    </w:p>
    <w:p w14:paraId="018CDE3C" w14:textId="5F325BE8" w:rsidR="0096027B" w:rsidRDefault="0096027B" w:rsidP="0096027B">
      <w:pPr>
        <w:spacing w:before="280" w:after="120" w:line="300" w:lineRule="atLeast"/>
        <w:jc w:val="both"/>
        <w:outlineLvl w:val="1"/>
      </w:pPr>
      <w:bookmarkStart w:id="9" w:name="_Toc520217568"/>
      <w:r>
        <w:t xml:space="preserve">BWV devices will be used by </w:t>
      </w:r>
      <w:r w:rsidR="000D6C3C">
        <w:t>WISE</w:t>
      </w:r>
      <w:r>
        <w:t xml:space="preserve"> officers engaged by Local Authorities</w:t>
      </w:r>
      <w:r w:rsidR="000D6C3C">
        <w:t xml:space="preserve"> </w:t>
      </w:r>
      <w:r>
        <w:t>for the purpose of enforcing environmental crimes.  It has the potential to significantly prevent the risk of conflict and safeguard our officers.  It will improve the quality of evidence provided by our officers and reduce the number of challenges against FPNs issued.  It will also raise standards of service providing a good reference for staff development.</w:t>
      </w:r>
      <w:bookmarkEnd w:id="9"/>
    </w:p>
    <w:p w14:paraId="14365960" w14:textId="77777777" w:rsidR="0096027B" w:rsidRDefault="0096027B" w:rsidP="0096027B">
      <w:pPr>
        <w:spacing w:before="280" w:after="120" w:line="300" w:lineRule="atLeast"/>
        <w:jc w:val="both"/>
        <w:outlineLvl w:val="1"/>
      </w:pPr>
      <w:bookmarkStart w:id="10" w:name="_Toc520217569"/>
      <w:r>
        <w:t xml:space="preserve">BWV can be used across a wide range of operations and in all </w:t>
      </w:r>
      <w:proofErr w:type="gramStart"/>
      <w:r>
        <w:t>cases</w:t>
      </w:r>
      <w:proofErr w:type="gramEnd"/>
      <w:r>
        <w:t xml:space="preserve"> users must use professional judgment </w:t>
      </w:r>
      <w:proofErr w:type="gramStart"/>
      <w:r>
        <w:t>with regard to</w:t>
      </w:r>
      <w:proofErr w:type="gramEnd"/>
      <w:r>
        <w:t xml:space="preserve"> the use of this equipment.  There are some examples of situations where the use of BWV is not appropriate; the following list is for guidance only and is not exhaustive:</w:t>
      </w:r>
      <w:bookmarkEnd w:id="10"/>
      <w:r>
        <w:t xml:space="preserve"> </w:t>
      </w:r>
    </w:p>
    <w:p w14:paraId="040F667C" w14:textId="77777777" w:rsidR="0096027B" w:rsidRPr="008A533C" w:rsidRDefault="0096027B" w:rsidP="0096027B">
      <w:pPr>
        <w:pStyle w:val="ListParagraph"/>
        <w:numPr>
          <w:ilvl w:val="0"/>
          <w:numId w:val="43"/>
        </w:numPr>
        <w:spacing w:before="280" w:after="120" w:line="300" w:lineRule="atLeast"/>
        <w:jc w:val="both"/>
        <w:outlineLvl w:val="1"/>
        <w:rPr>
          <w:rFonts w:ascii="Calibri" w:hAnsi="Calibri"/>
          <w:color w:val="000000"/>
          <w:sz w:val="22"/>
          <w:szCs w:val="20"/>
        </w:rPr>
      </w:pPr>
      <w:bookmarkStart w:id="11" w:name="_Toc520217570"/>
      <w:r>
        <w:t>Legal privilege – users must be careful to respect legal privilege and must not record material that is, or is likely to be, subject to such protections.</w:t>
      </w:r>
      <w:bookmarkEnd w:id="11"/>
    </w:p>
    <w:p w14:paraId="5DDB6146" w14:textId="77777777" w:rsidR="0096027B" w:rsidRPr="008A533C" w:rsidRDefault="0096027B" w:rsidP="0096027B">
      <w:pPr>
        <w:pStyle w:val="ListParagraph"/>
        <w:numPr>
          <w:ilvl w:val="0"/>
          <w:numId w:val="43"/>
        </w:numPr>
        <w:spacing w:before="280" w:after="120" w:line="300" w:lineRule="atLeast"/>
        <w:jc w:val="both"/>
        <w:outlineLvl w:val="1"/>
        <w:rPr>
          <w:rFonts w:ascii="Calibri" w:hAnsi="Calibri"/>
          <w:color w:val="000000"/>
          <w:sz w:val="22"/>
          <w:szCs w:val="20"/>
        </w:rPr>
      </w:pPr>
      <w:bookmarkStart w:id="12" w:name="_Toc520217571"/>
      <w:r>
        <w:t>Private dwellings – users must consider the right to private and family life (Article 8 of the ECHR) and must not record beyond what is necessary for the requirements of the individual case.</w:t>
      </w:r>
      <w:bookmarkEnd w:id="12"/>
      <w:r>
        <w:t xml:space="preserve"> </w:t>
      </w:r>
    </w:p>
    <w:p w14:paraId="442FA1CB" w14:textId="77777777" w:rsidR="0096027B" w:rsidRDefault="0096027B" w:rsidP="0096027B">
      <w:pPr>
        <w:spacing w:before="280" w:after="120" w:line="300" w:lineRule="atLeast"/>
        <w:jc w:val="both"/>
        <w:outlineLvl w:val="1"/>
      </w:pPr>
      <w:bookmarkStart w:id="13" w:name="_Toc520217572"/>
      <w:r>
        <w:t xml:space="preserve">At an individual case </w:t>
      </w:r>
      <w:proofErr w:type="gramStart"/>
      <w:r>
        <w:t>level</w:t>
      </w:r>
      <w:proofErr w:type="gramEnd"/>
      <w:r>
        <w:t xml:space="preserve"> the use of BWV must be made clear by staff making a verbal announcement to those persons who may be recorded.  In some </w:t>
      </w:r>
      <w:proofErr w:type="gramStart"/>
      <w:r>
        <w:t>cases</w:t>
      </w:r>
      <w:proofErr w:type="gramEnd"/>
      <w:r>
        <w:t xml:space="preserve"> it will not be practical to make such an announcement, on these occasions this announcement must been made as soon as practicable.</w:t>
      </w:r>
      <w:bookmarkEnd w:id="13"/>
      <w:r>
        <w:t xml:space="preserve"> </w:t>
      </w:r>
    </w:p>
    <w:p w14:paraId="725EC55B" w14:textId="1E38EED1" w:rsidR="0096027B" w:rsidRDefault="0096027B" w:rsidP="0096027B">
      <w:pPr>
        <w:spacing w:before="280" w:after="120" w:line="300" w:lineRule="atLeast"/>
        <w:outlineLvl w:val="1"/>
      </w:pPr>
      <w:bookmarkStart w:id="14" w:name="_Toc520217573"/>
      <w:r>
        <w:t>The decision to record or not to record any incident remains with the user providing that justification can be provided (as follows).  The user must be mindful that failing to record an incident may require explanation.  Therefore, if the user is present at an encounter where BWV can be used the user should record the incident.</w:t>
      </w:r>
      <w:bookmarkEnd w:id="14"/>
      <w:r>
        <w:t xml:space="preserve"> </w:t>
      </w:r>
    </w:p>
    <w:p w14:paraId="55FA2E62" w14:textId="79D25C0F" w:rsidR="000D6C3C" w:rsidRDefault="0096027B" w:rsidP="0096027B">
      <w:pPr>
        <w:spacing w:before="280" w:after="120" w:line="300" w:lineRule="atLeast"/>
        <w:outlineLvl w:val="1"/>
      </w:pPr>
      <w:bookmarkStart w:id="15" w:name="_Toc520217574"/>
      <w:r>
        <w:lastRenderedPageBreak/>
        <w:t xml:space="preserve">Recording should be incident-specific:  users should not indiscriminately record entire duties and only use recording to capture video and audio at incidents that would normally require reporting, </w:t>
      </w:r>
      <w:proofErr w:type="gramStart"/>
      <w:r>
        <w:t>whether or not</w:t>
      </w:r>
      <w:proofErr w:type="gramEnd"/>
      <w:r>
        <w:t xml:space="preserve"> these are ultimately required for use in evidence.</w:t>
      </w:r>
      <w:bookmarkEnd w:id="15"/>
    </w:p>
    <w:p w14:paraId="4F21EFE8" w14:textId="77777777" w:rsidR="000D6C3C" w:rsidRDefault="000D6C3C" w:rsidP="0096027B">
      <w:pPr>
        <w:rPr>
          <w:b/>
          <w:bCs/>
        </w:rPr>
      </w:pPr>
    </w:p>
    <w:p w14:paraId="7DB8AFE6" w14:textId="7ADB6E43" w:rsidR="0096027B" w:rsidRPr="000D6C3C" w:rsidRDefault="0096027B" w:rsidP="0096027B">
      <w:pPr>
        <w:rPr>
          <w:rFonts w:ascii="Univers" w:hAnsi="Univers"/>
          <w:b/>
          <w:bCs/>
        </w:rPr>
      </w:pPr>
      <w:r w:rsidRPr="000D6C3C">
        <w:rPr>
          <w:rFonts w:ascii="Univers" w:hAnsi="Univers"/>
          <w:b/>
          <w:bCs/>
        </w:rPr>
        <w:t xml:space="preserve">Risk Assessments / Health and Safety Considerations </w:t>
      </w:r>
    </w:p>
    <w:p w14:paraId="31410FB4" w14:textId="29FCC240" w:rsidR="0096027B" w:rsidRDefault="0096027B" w:rsidP="0096027B">
      <w:pPr>
        <w:spacing w:before="280" w:after="120" w:line="300" w:lineRule="atLeast"/>
        <w:jc w:val="both"/>
        <w:outlineLvl w:val="1"/>
      </w:pPr>
      <w:bookmarkStart w:id="16" w:name="_Toc520217575"/>
      <w:r>
        <w:t xml:space="preserve">Each incident should be subjected to a dynamic risk assessment on its own merits.  When using </w:t>
      </w:r>
      <w:proofErr w:type="gramStart"/>
      <w:r>
        <w:t>BWV</w:t>
      </w:r>
      <w:proofErr w:type="gramEnd"/>
      <w:r>
        <w:t xml:space="preserve"> the decision to record or not record forms part of this risk assessment. The assessment should include consideration of the health and safety, human rights and welfare of all those involved.</w:t>
      </w:r>
      <w:bookmarkEnd w:id="16"/>
      <w:r>
        <w:t xml:space="preserve"> </w:t>
      </w:r>
    </w:p>
    <w:p w14:paraId="4C1FCBD4" w14:textId="77777777" w:rsidR="000D6C3C" w:rsidRDefault="000D6C3C" w:rsidP="0096027B">
      <w:pPr>
        <w:pStyle w:val="Heading5"/>
      </w:pPr>
    </w:p>
    <w:p w14:paraId="28043DB1" w14:textId="1622B253" w:rsidR="0096027B" w:rsidRDefault="0096027B" w:rsidP="0096027B">
      <w:pPr>
        <w:pStyle w:val="Heading5"/>
      </w:pPr>
      <w:r>
        <w:t xml:space="preserve">Booking Out Equipment </w:t>
      </w:r>
    </w:p>
    <w:p w14:paraId="45BF65D9" w14:textId="28ABDD60" w:rsidR="0096027B" w:rsidRDefault="0096027B" w:rsidP="0096027B">
      <w:pPr>
        <w:spacing w:before="280" w:after="120" w:line="300" w:lineRule="atLeast"/>
        <w:jc w:val="both"/>
        <w:outlineLvl w:val="1"/>
      </w:pPr>
      <w:bookmarkStart w:id="17" w:name="_Toc520217576"/>
      <w:r>
        <w:t xml:space="preserve">All body worn cameras should be stored in a secure environment and docked when not in use.  When the units are booked/signed out, the officer must check the time and date stamp are correct and sign the </w:t>
      </w:r>
      <w:r w:rsidR="000D6C3C">
        <w:t xml:space="preserve">electronic </w:t>
      </w:r>
      <w:r>
        <w:t>booking out log to confirm this.  Only specifically instructed personnel are permitted to use BWV devices. On completion of instruction they will be locally authorised to use the equipment. Only officers authorised by the company director are permitted to operate the devices.</w:t>
      </w:r>
      <w:bookmarkEnd w:id="17"/>
      <w:r>
        <w:t xml:space="preserve"> </w:t>
      </w:r>
    </w:p>
    <w:p w14:paraId="2DEFCA20" w14:textId="77777777" w:rsidR="000D6C3C" w:rsidRDefault="000D6C3C" w:rsidP="0096027B">
      <w:pPr>
        <w:pStyle w:val="Heading5"/>
      </w:pPr>
    </w:p>
    <w:p w14:paraId="5AB318A9" w14:textId="6458638B" w:rsidR="0096027B" w:rsidRPr="008A533C" w:rsidRDefault="0096027B" w:rsidP="0096027B">
      <w:pPr>
        <w:pStyle w:val="Heading5"/>
      </w:pPr>
      <w:r w:rsidRPr="008A533C">
        <w:t>Recording Events</w:t>
      </w:r>
    </w:p>
    <w:p w14:paraId="23C5FBA4" w14:textId="5B676ADB" w:rsidR="0096027B" w:rsidRDefault="0096027B" w:rsidP="0096027B">
      <w:pPr>
        <w:spacing w:before="280" w:after="120" w:line="300" w:lineRule="atLeast"/>
        <w:jc w:val="both"/>
        <w:outlineLvl w:val="1"/>
      </w:pPr>
      <w:bookmarkStart w:id="18" w:name="_Toc520217577"/>
      <w:r>
        <w:t>BWV should only be used where the officer has reason to believe that an Environmental Crime has been committed or they find themselves in a confrontational situation and fear that there may be verbal or physical abuse.   All recordings have the potential to be used in evidence even if it appears at the time that this is unlikely.  It is important to record as much of an incident as possible.  Recording should begin at the earliest opportunity at the start of an event.</w:t>
      </w:r>
      <w:bookmarkEnd w:id="18"/>
      <w:r>
        <w:t xml:space="preserve"> </w:t>
      </w:r>
    </w:p>
    <w:p w14:paraId="5E44F3B6" w14:textId="77777777" w:rsidR="000D6C3C" w:rsidRDefault="000D6C3C" w:rsidP="0096027B">
      <w:pPr>
        <w:pStyle w:val="Heading5"/>
      </w:pPr>
    </w:p>
    <w:p w14:paraId="7D5379CC" w14:textId="632A066A" w:rsidR="0096027B" w:rsidRPr="008A533C" w:rsidRDefault="0096027B" w:rsidP="0096027B">
      <w:pPr>
        <w:pStyle w:val="Heading5"/>
      </w:pPr>
      <w:r w:rsidRPr="008A533C">
        <w:t>Image Capture</w:t>
      </w:r>
    </w:p>
    <w:p w14:paraId="0674824C" w14:textId="77777777" w:rsidR="0096027B" w:rsidRPr="0096027B" w:rsidRDefault="0096027B" w:rsidP="0096027B">
      <w:pPr>
        <w:spacing w:before="280" w:after="120" w:line="300" w:lineRule="atLeast"/>
        <w:jc w:val="both"/>
        <w:outlineLvl w:val="1"/>
        <w:rPr>
          <w:color w:val="000000" w:themeColor="text1"/>
        </w:rPr>
      </w:pPr>
      <w:bookmarkStart w:id="19" w:name="_Toc520217578"/>
      <w:r w:rsidRPr="0096027B">
        <w:rPr>
          <w:color w:val="000000" w:themeColor="text1"/>
        </w:rPr>
        <w:t>At the start of any recording, the user should, where possible, make a verbal announcement to indicate why the recording has been activated.  If possible, this should include:</w:t>
      </w:r>
      <w:bookmarkEnd w:id="19"/>
    </w:p>
    <w:p w14:paraId="3EB74266" w14:textId="77777777" w:rsidR="0096027B" w:rsidRPr="0096027B" w:rsidRDefault="0096027B" w:rsidP="0096027B">
      <w:pPr>
        <w:pStyle w:val="ListParagraph"/>
        <w:numPr>
          <w:ilvl w:val="0"/>
          <w:numId w:val="44"/>
        </w:numPr>
        <w:spacing w:before="280" w:after="120" w:line="300" w:lineRule="atLeast"/>
        <w:jc w:val="both"/>
        <w:outlineLvl w:val="1"/>
        <w:rPr>
          <w:color w:val="000000" w:themeColor="text1"/>
        </w:rPr>
      </w:pPr>
      <w:bookmarkStart w:id="20" w:name="_Toc520217579"/>
      <w:r w:rsidRPr="0096027B">
        <w:rPr>
          <w:color w:val="000000" w:themeColor="text1"/>
        </w:rPr>
        <w:t>the date, time and location;</w:t>
      </w:r>
      <w:bookmarkEnd w:id="20"/>
    </w:p>
    <w:p w14:paraId="177B2404" w14:textId="77777777" w:rsidR="0096027B" w:rsidRPr="0096027B" w:rsidRDefault="0096027B" w:rsidP="0096027B">
      <w:pPr>
        <w:pStyle w:val="ListParagraph"/>
        <w:numPr>
          <w:ilvl w:val="0"/>
          <w:numId w:val="44"/>
        </w:numPr>
        <w:spacing w:before="280" w:after="120" w:line="300" w:lineRule="atLeast"/>
        <w:jc w:val="both"/>
        <w:outlineLvl w:val="1"/>
        <w:rPr>
          <w:color w:val="000000" w:themeColor="text1"/>
        </w:rPr>
      </w:pPr>
      <w:bookmarkStart w:id="21" w:name="_Toc520217580"/>
      <w:r w:rsidRPr="0096027B">
        <w:rPr>
          <w:color w:val="000000" w:themeColor="text1"/>
        </w:rPr>
        <w:t>the nature of the incident;</w:t>
      </w:r>
      <w:bookmarkEnd w:id="21"/>
    </w:p>
    <w:p w14:paraId="6A216293" w14:textId="77777777" w:rsidR="0096027B" w:rsidRPr="0096027B" w:rsidRDefault="0096027B" w:rsidP="0096027B">
      <w:pPr>
        <w:pStyle w:val="ListParagraph"/>
        <w:numPr>
          <w:ilvl w:val="0"/>
          <w:numId w:val="44"/>
        </w:numPr>
        <w:spacing w:before="280" w:after="120" w:line="300" w:lineRule="atLeast"/>
        <w:jc w:val="both"/>
        <w:outlineLvl w:val="1"/>
        <w:rPr>
          <w:color w:val="000000" w:themeColor="text1"/>
        </w:rPr>
      </w:pPr>
      <w:bookmarkStart w:id="22" w:name="_Toc520217581"/>
      <w:r w:rsidRPr="0096027B">
        <w:rPr>
          <w:color w:val="000000" w:themeColor="text1"/>
        </w:rPr>
        <w:t>confirmation to those present that the incident is now being recorded using both video and audio recording;</w:t>
      </w:r>
      <w:bookmarkEnd w:id="22"/>
    </w:p>
    <w:p w14:paraId="1DCF994A" w14:textId="77777777" w:rsidR="0096027B" w:rsidRPr="0096027B" w:rsidRDefault="0096027B" w:rsidP="0096027B">
      <w:pPr>
        <w:pStyle w:val="ListParagraph"/>
        <w:numPr>
          <w:ilvl w:val="0"/>
          <w:numId w:val="44"/>
        </w:numPr>
        <w:spacing w:before="280" w:after="120" w:line="300" w:lineRule="atLeast"/>
        <w:jc w:val="both"/>
        <w:outlineLvl w:val="1"/>
        <w:rPr>
          <w:color w:val="000000" w:themeColor="text1"/>
        </w:rPr>
      </w:pPr>
      <w:bookmarkStart w:id="23" w:name="_Toc520217582"/>
      <w:r w:rsidRPr="0096027B">
        <w:rPr>
          <w:color w:val="000000" w:themeColor="text1"/>
        </w:rPr>
        <w:t>If the recording has started prior to arrival at the scene of an incident, the user should, as soon as possible announce to those present that recording is taking place and that actions and sounds are being recorded.</w:t>
      </w:r>
      <w:bookmarkEnd w:id="23"/>
      <w:r w:rsidRPr="0096027B">
        <w:rPr>
          <w:color w:val="000000" w:themeColor="text1"/>
        </w:rPr>
        <w:t xml:space="preserve"> </w:t>
      </w:r>
    </w:p>
    <w:p w14:paraId="40387756" w14:textId="77777777" w:rsidR="0096027B" w:rsidRPr="0096027B" w:rsidRDefault="0096027B" w:rsidP="0096027B">
      <w:pPr>
        <w:spacing w:before="280" w:after="120" w:line="300" w:lineRule="atLeast"/>
        <w:jc w:val="both"/>
        <w:outlineLvl w:val="1"/>
        <w:rPr>
          <w:color w:val="000000" w:themeColor="text1"/>
        </w:rPr>
      </w:pPr>
      <w:bookmarkStart w:id="24" w:name="_Toc520217583"/>
      <w:r w:rsidRPr="0096027B">
        <w:rPr>
          <w:color w:val="000000" w:themeColor="text1"/>
        </w:rPr>
        <w:t>Users should use straightforward speech that can be easily understood by those present, such as “Sir/Madam, I am video recording this conversation”.</w:t>
      </w:r>
      <w:bookmarkEnd w:id="24"/>
      <w:r w:rsidRPr="0096027B">
        <w:rPr>
          <w:color w:val="000000" w:themeColor="text1"/>
        </w:rPr>
        <w:t xml:space="preserve"> </w:t>
      </w:r>
    </w:p>
    <w:p w14:paraId="5146F4B5" w14:textId="77777777" w:rsidR="0096027B" w:rsidRDefault="0096027B" w:rsidP="0096027B">
      <w:pPr>
        <w:spacing w:before="280" w:after="120" w:line="300" w:lineRule="atLeast"/>
        <w:jc w:val="both"/>
        <w:outlineLvl w:val="1"/>
      </w:pPr>
      <w:bookmarkStart w:id="25" w:name="_Toc520217584"/>
      <w:r>
        <w:t xml:space="preserve">Users should attempt to minimise intrusion of privacy on third parties not involved in the incident, by keeping the camera focused on the event and not bystanders.  Unless circumstances dictate </w:t>
      </w:r>
      <w:r>
        <w:lastRenderedPageBreak/>
        <w:t>otherwise, recording must continue uninterrupted from the start of recording until the conclusion of the incident.  It is advisable that the member of staff continues to record for a short period after any incident to clearly demonstrate to any subsequent viewer that the incident has concluded and that the user has resumed other activities.</w:t>
      </w:r>
      <w:bookmarkEnd w:id="25"/>
    </w:p>
    <w:p w14:paraId="2A26B51F" w14:textId="77777777" w:rsidR="0096027B" w:rsidRDefault="0096027B" w:rsidP="0096027B">
      <w:pPr>
        <w:spacing w:before="280" w:after="120" w:line="300" w:lineRule="atLeast"/>
        <w:jc w:val="both"/>
        <w:outlineLvl w:val="1"/>
      </w:pPr>
      <w:bookmarkStart w:id="26" w:name="_Toc520217585"/>
      <w:r>
        <w:t>Prior to concluding recording, the user should make a verbal announcement to indicate the reason for ending the recording. This should state:</w:t>
      </w:r>
      <w:bookmarkEnd w:id="26"/>
      <w:r>
        <w:t xml:space="preserve"> </w:t>
      </w:r>
    </w:p>
    <w:p w14:paraId="29FF3949" w14:textId="77777777" w:rsidR="0096027B" w:rsidRDefault="0096027B" w:rsidP="0096027B">
      <w:pPr>
        <w:pStyle w:val="ListParagraph"/>
        <w:numPr>
          <w:ilvl w:val="0"/>
          <w:numId w:val="45"/>
        </w:numPr>
        <w:spacing w:before="280" w:after="120" w:line="300" w:lineRule="atLeast"/>
        <w:jc w:val="both"/>
        <w:outlineLvl w:val="1"/>
      </w:pPr>
      <w:bookmarkStart w:id="27" w:name="_Toc520217586"/>
      <w:r>
        <w:t>the date, time and location; and</w:t>
      </w:r>
      <w:bookmarkEnd w:id="27"/>
    </w:p>
    <w:p w14:paraId="3F4562E3" w14:textId="77777777" w:rsidR="0096027B" w:rsidRDefault="0096027B" w:rsidP="0096027B">
      <w:pPr>
        <w:pStyle w:val="ListParagraph"/>
        <w:numPr>
          <w:ilvl w:val="0"/>
          <w:numId w:val="45"/>
        </w:numPr>
        <w:spacing w:before="280" w:after="120" w:line="300" w:lineRule="atLeast"/>
        <w:jc w:val="both"/>
        <w:outlineLvl w:val="1"/>
      </w:pPr>
      <w:bookmarkStart w:id="28" w:name="_Toc520217587"/>
      <w:r>
        <w:t>the reason for concluding recording.</w:t>
      </w:r>
      <w:bookmarkEnd w:id="28"/>
      <w:r>
        <w:t xml:space="preserve"> </w:t>
      </w:r>
    </w:p>
    <w:p w14:paraId="5A57C46F" w14:textId="77777777" w:rsidR="00854950" w:rsidRDefault="00854950" w:rsidP="0096027B">
      <w:pPr>
        <w:pStyle w:val="Heading5"/>
      </w:pPr>
    </w:p>
    <w:p w14:paraId="63EF6F3C" w14:textId="23FF49C3" w:rsidR="0096027B" w:rsidRDefault="0096027B" w:rsidP="0096027B">
      <w:pPr>
        <w:pStyle w:val="Heading5"/>
      </w:pPr>
      <w:r>
        <w:t xml:space="preserve">Transfer of images to secure </w:t>
      </w:r>
      <w:r w:rsidR="005B225F">
        <w:t>cloud</w:t>
      </w:r>
      <w:r>
        <w:t xml:space="preserve"> for storage </w:t>
      </w:r>
    </w:p>
    <w:p w14:paraId="738B49A7" w14:textId="2109CEF1" w:rsidR="0096027B" w:rsidRDefault="0096027B" w:rsidP="0096027B">
      <w:pPr>
        <w:spacing w:before="280" w:after="120" w:line="300" w:lineRule="atLeast"/>
        <w:jc w:val="both"/>
        <w:outlineLvl w:val="1"/>
      </w:pPr>
      <w:bookmarkStart w:id="29" w:name="_Toc520217588"/>
      <w:r>
        <w:t xml:space="preserve">Before completion of duty, the officer will dock the device.  All recordings will be </w:t>
      </w:r>
      <w:r w:rsidR="007A1425">
        <w:t xml:space="preserve">uploaded to Halo Vault (Secure Cloud based system), </w:t>
      </w:r>
      <w:r>
        <w:t xml:space="preserve">which can only be accessed </w:t>
      </w:r>
      <w:r w:rsidR="007A1425">
        <w:t xml:space="preserve">using personal user credentials.  Access to Halo Vault </w:t>
      </w:r>
      <w:r>
        <w:t xml:space="preserve">will be restricted to key personnel and </w:t>
      </w:r>
      <w:r w:rsidR="007A1425">
        <w:t xml:space="preserve">an electronic </w:t>
      </w:r>
      <w:r>
        <w:t xml:space="preserve">audit log </w:t>
      </w:r>
      <w:bookmarkEnd w:id="29"/>
      <w:r w:rsidR="007A1425">
        <w:t>of system access and actions is maintained.</w:t>
      </w:r>
    </w:p>
    <w:p w14:paraId="41958B59" w14:textId="77777777" w:rsidR="0096027B" w:rsidRDefault="0096027B" w:rsidP="0096027B">
      <w:pPr>
        <w:pStyle w:val="Heading5"/>
      </w:pPr>
      <w:r>
        <w:t xml:space="preserve">Deletion of Images </w:t>
      </w:r>
    </w:p>
    <w:p w14:paraId="210F9C97" w14:textId="77777777" w:rsidR="0096027B" w:rsidRDefault="0096027B" w:rsidP="0096027B">
      <w:pPr>
        <w:spacing w:before="280" w:after="120" w:line="300" w:lineRule="atLeast"/>
        <w:jc w:val="both"/>
        <w:outlineLvl w:val="1"/>
      </w:pPr>
      <w:bookmarkStart w:id="30" w:name="_Toc520217589"/>
      <w:r>
        <w:t>There are no circumstances in which the unauthorised deletion by the officer or other person of any images that have already been recorded can be justified, and any such action may result in legal or disciplinary proceedings.</w:t>
      </w:r>
      <w:bookmarkEnd w:id="30"/>
      <w:r>
        <w:t xml:space="preserve"> </w:t>
      </w:r>
    </w:p>
    <w:p w14:paraId="6EF71CBA" w14:textId="4304EA42" w:rsidR="0096027B" w:rsidRDefault="0096027B" w:rsidP="0096027B">
      <w:pPr>
        <w:spacing w:before="280" w:after="120" w:line="300" w:lineRule="atLeast"/>
        <w:jc w:val="both"/>
        <w:outlineLvl w:val="1"/>
      </w:pPr>
      <w:bookmarkStart w:id="31" w:name="_Toc520217590"/>
      <w:r>
        <w:t xml:space="preserve">All non-evidential data will be retained on </w:t>
      </w:r>
      <w:r w:rsidR="007A1425">
        <w:t>Halo Vault</w:t>
      </w:r>
      <w:r>
        <w:t xml:space="preserve"> for 31 days and then deleted through the system.</w:t>
      </w:r>
      <w:bookmarkEnd w:id="31"/>
      <w:r>
        <w:t xml:space="preserve"> </w:t>
      </w:r>
    </w:p>
    <w:p w14:paraId="1915FD8A" w14:textId="77777777" w:rsidR="0096027B" w:rsidRDefault="0096027B" w:rsidP="0096027B">
      <w:pPr>
        <w:pStyle w:val="Heading5"/>
      </w:pPr>
      <w:r>
        <w:t>Return of Equipment</w:t>
      </w:r>
    </w:p>
    <w:p w14:paraId="7BAC553F" w14:textId="77777777" w:rsidR="0096027B" w:rsidRDefault="0096027B" w:rsidP="0096027B">
      <w:pPr>
        <w:spacing w:before="280" w:after="120" w:line="300" w:lineRule="atLeast"/>
        <w:jc w:val="both"/>
        <w:outlineLvl w:val="1"/>
      </w:pPr>
      <w:bookmarkStart w:id="32" w:name="_Toc520217591"/>
      <w:r>
        <w:t>When the BWV equipment is no longer required it will be returned to the appropriate storage facility.  The officer will ensure that all equipment is in working order and suitable for re issue.  Any damage or malfunctions must be reported to the Contract Manager.  Care should be taken to ensure that the device and any batteries are placed on charge for the next user.</w:t>
      </w:r>
      <w:bookmarkEnd w:id="32"/>
    </w:p>
    <w:p w14:paraId="1D4F41FB" w14:textId="77777777" w:rsidR="0096027B" w:rsidRDefault="0096027B" w:rsidP="0096027B">
      <w:pPr>
        <w:pStyle w:val="Heading5"/>
      </w:pPr>
      <w:r>
        <w:t xml:space="preserve">Policy review </w:t>
      </w:r>
    </w:p>
    <w:p w14:paraId="04A309D6" w14:textId="77777777" w:rsidR="0096027B" w:rsidRDefault="0096027B" w:rsidP="0096027B">
      <w:pPr>
        <w:spacing w:before="280" w:after="120" w:line="300" w:lineRule="atLeast"/>
        <w:outlineLvl w:val="1"/>
      </w:pPr>
      <w:bookmarkStart w:id="33" w:name="_Toc520217592"/>
      <w:r>
        <w:t>This policy will be kept up to date, particularly as the business changes in nature and size.  To ensure this, the policy and the way in which it has implemented will be reviewed every year.</w:t>
      </w:r>
      <w:bookmarkEnd w:id="33"/>
      <w:r>
        <w:t xml:space="preserve"> </w:t>
      </w:r>
    </w:p>
    <w:p w14:paraId="7DBD0D70" w14:textId="77777777" w:rsidR="0096027B" w:rsidRDefault="0096027B" w:rsidP="0096027B">
      <w:pPr>
        <w:spacing w:before="280" w:after="120" w:line="300" w:lineRule="atLeast"/>
        <w:jc w:val="both"/>
        <w:outlineLvl w:val="1"/>
      </w:pPr>
      <w:bookmarkStart w:id="34" w:name="_Toc520217593"/>
      <w:r>
        <w:t>In addition, reviews of risk and assessments and site safety inspections etc will take place from time to time as will reviews subject to updates on the Surveillance Camera Commissioner’s Code of Practice.</w:t>
      </w:r>
      <w:bookmarkEnd w:id="34"/>
    </w:p>
    <w:p w14:paraId="63BC0BE6" w14:textId="5A6ED35A" w:rsidR="0090517A" w:rsidRDefault="0096027B" w:rsidP="0096027B">
      <w:bookmarkStart w:id="35" w:name="_Toc520217594"/>
      <w:r>
        <w:t xml:space="preserve">Further details of how we use data can be viewed </w:t>
      </w:r>
      <w:bookmarkEnd w:id="35"/>
      <w:r>
        <w:t xml:space="preserve">at </w:t>
      </w:r>
      <w:hyperlink r:id="rId11" w:history="1">
        <w:r w:rsidR="007A1425" w:rsidRPr="006E4EF2">
          <w:rPr>
            <w:rStyle w:val="Hyperlink"/>
          </w:rPr>
          <w:t>https://wasteenforcement.co.uk/privacy-policy/</w:t>
        </w:r>
      </w:hyperlink>
    </w:p>
    <w:p w14:paraId="575C5DB5" w14:textId="77777777" w:rsidR="007A1425" w:rsidRPr="0096027B" w:rsidRDefault="007A1425" w:rsidP="0096027B"/>
    <w:sectPr w:rsidR="007A1425" w:rsidRPr="0096027B" w:rsidSect="00CF2099">
      <w:headerReference w:type="even" r:id="rId12"/>
      <w:headerReference w:type="default" r:id="rId13"/>
      <w:footerReference w:type="default" r:id="rId14"/>
      <w:pgSz w:w="11906" w:h="16838"/>
      <w:pgMar w:top="720" w:right="1134" w:bottom="993" w:left="1134"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2C8A" w14:textId="77777777" w:rsidR="001F45B2" w:rsidRDefault="001F45B2">
      <w:r>
        <w:separator/>
      </w:r>
    </w:p>
  </w:endnote>
  <w:endnote w:type="continuationSeparator" w:id="0">
    <w:p w14:paraId="06A7CEEA" w14:textId="77777777" w:rsidR="001F45B2" w:rsidRDefault="001F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5EA3" w14:textId="449E4421" w:rsidR="00461560" w:rsidRDefault="00461560" w:rsidP="005736C6">
    <w:pPr>
      <w:pStyle w:val="Footer"/>
    </w:pPr>
  </w:p>
  <w:tbl>
    <w:tblPr>
      <w:tblW w:w="10031" w:type="dxa"/>
      <w:tblCellMar>
        <w:left w:w="0" w:type="dxa"/>
        <w:right w:w="0" w:type="dxa"/>
      </w:tblCellMar>
      <w:tblLook w:val="04A0" w:firstRow="1" w:lastRow="0" w:firstColumn="1" w:lastColumn="0" w:noHBand="0" w:noVBand="1"/>
    </w:tblPr>
    <w:tblGrid>
      <w:gridCol w:w="10247"/>
      <w:gridCol w:w="222"/>
    </w:tblGrid>
    <w:tr w:rsidR="00134D4E" w14:paraId="6DA286E5" w14:textId="77777777" w:rsidTr="001A40D0">
      <w:tc>
        <w:tcPr>
          <w:tcW w:w="9039" w:type="dxa"/>
          <w:tcMar>
            <w:top w:w="0" w:type="dxa"/>
            <w:left w:w="108" w:type="dxa"/>
            <w:bottom w:w="0" w:type="dxa"/>
            <w:right w:w="108" w:type="dxa"/>
          </w:tcMar>
          <w:hideMark/>
        </w:tcPr>
        <w:tbl>
          <w:tblPr>
            <w:tblW w:w="10031" w:type="dxa"/>
            <w:tblLook w:val="04A0" w:firstRow="1" w:lastRow="0" w:firstColumn="1" w:lastColumn="0" w:noHBand="0" w:noVBand="1"/>
          </w:tblPr>
          <w:tblGrid>
            <w:gridCol w:w="9039"/>
            <w:gridCol w:w="992"/>
          </w:tblGrid>
          <w:tr w:rsidR="00CF2099" w:rsidRPr="00FD023A" w14:paraId="1FD48797" w14:textId="77777777" w:rsidTr="00020A44">
            <w:tc>
              <w:tcPr>
                <w:tcW w:w="9039" w:type="dxa"/>
                <w:vAlign w:val="center"/>
                <w:hideMark/>
              </w:tcPr>
              <w:p w14:paraId="2F360453" w14:textId="77777777" w:rsidR="00CF2099" w:rsidRPr="001A1027" w:rsidRDefault="00CF2099" w:rsidP="00CF2099">
                <w:pPr>
                  <w:pStyle w:val="Footer"/>
                  <w:tabs>
                    <w:tab w:val="right" w:pos="9923"/>
                  </w:tabs>
                  <w:ind w:left="-284" w:right="-1383"/>
                  <w:jc w:val="center"/>
                  <w:rPr>
                    <w:rFonts w:asciiTheme="minorHAnsi" w:hAnsiTheme="minorHAnsi" w:cstheme="minorHAnsi"/>
                    <w:b/>
                    <w:sz w:val="16"/>
                    <w:szCs w:val="16"/>
                  </w:rPr>
                </w:pPr>
                <w:r w:rsidRPr="001A1027">
                  <w:rPr>
                    <w:rFonts w:asciiTheme="minorHAnsi" w:hAnsiTheme="minorHAnsi" w:cstheme="minorHAnsi"/>
                    <w:b/>
                    <w:sz w:val="16"/>
                    <w:szCs w:val="16"/>
                  </w:rPr>
                  <w:t>Not controlled if Printed</w:t>
                </w:r>
              </w:p>
              <w:p w14:paraId="4650AE7B" w14:textId="77777777" w:rsidR="00CF2099" w:rsidRPr="001A1027" w:rsidRDefault="00CF2099" w:rsidP="00CF2099">
                <w:pPr>
                  <w:pStyle w:val="Footer"/>
                  <w:tabs>
                    <w:tab w:val="right" w:pos="9923"/>
                  </w:tabs>
                  <w:ind w:left="-284" w:right="-1383"/>
                  <w:jc w:val="center"/>
                  <w:rPr>
                    <w:rFonts w:asciiTheme="minorHAnsi" w:hAnsiTheme="minorHAnsi" w:cstheme="minorHAnsi"/>
                    <w:sz w:val="16"/>
                    <w:szCs w:val="16"/>
                  </w:rPr>
                </w:pPr>
                <w:r w:rsidRPr="001A1027">
                  <w:rPr>
                    <w:rFonts w:asciiTheme="minorHAnsi" w:hAnsiTheme="minorHAnsi" w:cstheme="minorHAnsi"/>
                    <w:sz w:val="16"/>
                    <w:szCs w:val="16"/>
                  </w:rPr>
                  <w:t>The Company reserve the right to amend, change or withdraw any part of this document at any time.</w:t>
                </w:r>
              </w:p>
              <w:p w14:paraId="204285B8" w14:textId="77777777" w:rsidR="00CF2099" w:rsidRPr="00FD023A" w:rsidRDefault="00CF2099" w:rsidP="00CF2099">
                <w:pPr>
                  <w:tabs>
                    <w:tab w:val="center" w:pos="4153"/>
                    <w:tab w:val="right" w:pos="8306"/>
                  </w:tabs>
                  <w:jc w:val="center"/>
                  <w:rPr>
                    <w:rFonts w:asciiTheme="minorHAnsi" w:hAnsiTheme="minorHAnsi"/>
                    <w:color w:val="BFBFBF"/>
                    <w:sz w:val="15"/>
                    <w:szCs w:val="15"/>
                  </w:rPr>
                </w:pPr>
                <w:r w:rsidRPr="00FD023A">
                  <w:rPr>
                    <w:rFonts w:asciiTheme="minorHAnsi" w:hAnsiTheme="minorHAnsi"/>
                    <w:color w:val="BFBFBF"/>
                    <w:sz w:val="15"/>
                    <w:szCs w:val="15"/>
                  </w:rPr>
                  <w:t>© This document is provided under licence and should not be amended or copied unless under the terms of the user licence agreement</w:t>
                </w:r>
              </w:p>
            </w:tc>
            <w:tc>
              <w:tcPr>
                <w:tcW w:w="992" w:type="dxa"/>
                <w:vAlign w:val="center"/>
              </w:tcPr>
              <w:p w14:paraId="33109FF0" w14:textId="77777777" w:rsidR="00CF2099" w:rsidRPr="00FD023A" w:rsidRDefault="00CF2099" w:rsidP="00CF2099">
                <w:pPr>
                  <w:jc w:val="center"/>
                  <w:rPr>
                    <w:rFonts w:asciiTheme="minorHAnsi" w:hAnsiTheme="minorHAnsi" w:cs="Arial"/>
                    <w:sz w:val="15"/>
                    <w:szCs w:val="15"/>
                  </w:rPr>
                </w:pPr>
                <w:r w:rsidRPr="00FD023A">
                  <w:rPr>
                    <w:rFonts w:asciiTheme="minorHAnsi" w:hAnsiTheme="minorHAnsi" w:cs="Arial"/>
                    <w:noProof/>
                    <w:sz w:val="15"/>
                    <w:szCs w:val="15"/>
                  </w:rPr>
                  <w:drawing>
                    <wp:inline distT="0" distB="0" distL="0" distR="0" wp14:anchorId="376277AF" wp14:editId="57964785">
                      <wp:extent cx="286385" cy="17653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p>
            </w:tc>
          </w:tr>
        </w:tbl>
        <w:p w14:paraId="7DF3F14F" w14:textId="3539A2B3" w:rsidR="00134D4E" w:rsidRDefault="00134D4E" w:rsidP="00134D4E">
          <w:pPr>
            <w:jc w:val="center"/>
          </w:pPr>
        </w:p>
      </w:tc>
      <w:tc>
        <w:tcPr>
          <w:tcW w:w="992" w:type="dxa"/>
          <w:tcMar>
            <w:top w:w="0" w:type="dxa"/>
            <w:left w:w="108" w:type="dxa"/>
            <w:bottom w:w="0" w:type="dxa"/>
            <w:right w:w="108" w:type="dxa"/>
          </w:tcMar>
          <w:hideMark/>
        </w:tcPr>
        <w:p w14:paraId="127D57EB" w14:textId="625CE9D6" w:rsidR="00134D4E" w:rsidRDefault="00134D4E" w:rsidP="00134D4E">
          <w:pPr>
            <w:jc w:val="center"/>
          </w:pPr>
        </w:p>
      </w:tc>
    </w:tr>
  </w:tbl>
  <w:p w14:paraId="06A889B9" w14:textId="77777777" w:rsidR="005736C6" w:rsidRPr="005736C6" w:rsidRDefault="005736C6" w:rsidP="00CF2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4214" w14:textId="77777777" w:rsidR="001F45B2" w:rsidRDefault="001F45B2">
      <w:r>
        <w:separator/>
      </w:r>
    </w:p>
  </w:footnote>
  <w:footnote w:type="continuationSeparator" w:id="0">
    <w:p w14:paraId="0E0E7D6E" w14:textId="77777777" w:rsidR="001F45B2" w:rsidRDefault="001F4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9678174"/>
      <w:docPartObj>
        <w:docPartGallery w:val="Page Numbers (Top of Page)"/>
        <w:docPartUnique/>
      </w:docPartObj>
    </w:sdtPr>
    <w:sdtContent>
      <w:p w14:paraId="51DC7002" w14:textId="78E977FB" w:rsidR="00CD7B3B" w:rsidRDefault="00CD7B3B" w:rsidP="00000A18">
        <w:pPr>
          <w:pStyle w:val="Head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BCDD9A" w14:textId="77777777" w:rsidR="00134D4E" w:rsidRDefault="00134D4E" w:rsidP="00CD7B3B">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26"/>
      <w:gridCol w:w="5162"/>
      <w:gridCol w:w="1235"/>
      <w:gridCol w:w="1367"/>
    </w:tblGrid>
    <w:tr w:rsidR="00CF2099" w14:paraId="1648F425" w14:textId="77777777" w:rsidTr="00020A44">
      <w:trPr>
        <w:cantSplit/>
        <w:trHeight w:val="164"/>
      </w:trPr>
      <w:tc>
        <w:tcPr>
          <w:tcW w:w="1926" w:type="dxa"/>
          <w:vMerge w:val="restart"/>
          <w:tcBorders>
            <w:top w:val="single" w:sz="4" w:space="0" w:color="auto"/>
            <w:left w:val="single" w:sz="4" w:space="0" w:color="auto"/>
            <w:right w:val="single" w:sz="4" w:space="0" w:color="auto"/>
          </w:tcBorders>
          <w:shd w:val="clear" w:color="auto" w:fill="FFFFFF"/>
          <w:vAlign w:val="center"/>
        </w:tcPr>
        <w:p w14:paraId="3FF28931" w14:textId="77777777" w:rsidR="00CF2099" w:rsidRPr="0020091C" w:rsidRDefault="00CF2099" w:rsidP="00CF2099">
          <w:pPr>
            <w:pStyle w:val="Header"/>
            <w:ind w:left="34"/>
            <w:rPr>
              <w:rFonts w:ascii="Arial" w:hAnsi="Arial"/>
              <w:sz w:val="22"/>
              <w:szCs w:val="22"/>
            </w:rPr>
          </w:pPr>
          <w:r>
            <w:rPr>
              <w:rFonts w:ascii="Arial" w:hAnsi="Arial"/>
              <w:noProof/>
              <w:sz w:val="22"/>
              <w:szCs w:val="22"/>
            </w:rPr>
            <w:drawing>
              <wp:inline distT="0" distB="0" distL="0" distR="0" wp14:anchorId="34C677CB" wp14:editId="3CEE70C7">
                <wp:extent cx="1085850" cy="347980"/>
                <wp:effectExtent l="0" t="0" r="0" b="0"/>
                <wp:docPr id="32" name="Picture 3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347980"/>
                        </a:xfrm>
                        <a:prstGeom prst="rect">
                          <a:avLst/>
                        </a:prstGeom>
                      </pic:spPr>
                    </pic:pic>
                  </a:graphicData>
                </a:graphic>
              </wp:inline>
            </w:drawing>
          </w:r>
        </w:p>
      </w:tc>
      <w:tc>
        <w:tcPr>
          <w:tcW w:w="5162" w:type="dxa"/>
          <w:vMerge w:val="restart"/>
          <w:tcBorders>
            <w:left w:val="single" w:sz="4" w:space="0" w:color="auto"/>
          </w:tcBorders>
          <w:vAlign w:val="center"/>
        </w:tcPr>
        <w:p w14:paraId="5685ED7F" w14:textId="63F5398E" w:rsidR="00CF2099" w:rsidRPr="00B30C2D" w:rsidRDefault="00CF2099" w:rsidP="00CF2099">
          <w:pPr>
            <w:pStyle w:val="Header"/>
            <w:jc w:val="center"/>
            <w:rPr>
              <w:rFonts w:asciiTheme="minorHAnsi" w:hAnsiTheme="minorHAnsi"/>
              <w:b/>
              <w:color w:val="FF0000"/>
              <w:sz w:val="22"/>
              <w:szCs w:val="22"/>
            </w:rPr>
          </w:pPr>
          <w:r w:rsidRPr="00CF2099">
            <w:rPr>
              <w:rFonts w:ascii="Calibri" w:eastAsia="Calibri" w:hAnsi="Calibri"/>
              <w:b/>
              <w:sz w:val="32"/>
              <w:szCs w:val="22"/>
              <w:lang w:val="en-US"/>
            </w:rPr>
            <w:t>Body Worn CCTV Cameras Policy</w:t>
          </w:r>
        </w:p>
      </w:tc>
      <w:tc>
        <w:tcPr>
          <w:tcW w:w="1235" w:type="dxa"/>
          <w:vAlign w:val="center"/>
        </w:tcPr>
        <w:p w14:paraId="6AF51307" w14:textId="77777777" w:rsidR="00CF2099" w:rsidRPr="00B668BD" w:rsidRDefault="00CF2099" w:rsidP="00CF2099">
          <w:pPr>
            <w:rPr>
              <w:rFonts w:asciiTheme="minorHAnsi" w:hAnsiTheme="minorHAnsi"/>
              <w:color w:val="000000"/>
              <w:sz w:val="16"/>
              <w:szCs w:val="16"/>
            </w:rPr>
          </w:pPr>
          <w:r w:rsidRPr="00B668BD">
            <w:rPr>
              <w:rFonts w:asciiTheme="minorHAnsi" w:hAnsiTheme="minorHAnsi"/>
              <w:color w:val="000000"/>
              <w:sz w:val="16"/>
              <w:szCs w:val="16"/>
            </w:rPr>
            <w:t>Issue No</w:t>
          </w:r>
        </w:p>
      </w:tc>
      <w:tc>
        <w:tcPr>
          <w:tcW w:w="1367" w:type="dxa"/>
          <w:vAlign w:val="center"/>
        </w:tcPr>
        <w:p w14:paraId="56E7D0FA" w14:textId="0D18006B" w:rsidR="00CF2099" w:rsidRPr="00B668BD" w:rsidRDefault="00FB375D" w:rsidP="00CF2099">
          <w:pPr>
            <w:jc w:val="center"/>
            <w:rPr>
              <w:rFonts w:asciiTheme="minorHAnsi" w:hAnsiTheme="minorHAnsi"/>
              <w:sz w:val="16"/>
              <w:szCs w:val="16"/>
              <w:highlight w:val="yellow"/>
            </w:rPr>
          </w:pPr>
          <w:r>
            <w:rPr>
              <w:rFonts w:asciiTheme="minorHAnsi" w:hAnsiTheme="minorHAnsi"/>
              <w:sz w:val="16"/>
              <w:szCs w:val="16"/>
            </w:rPr>
            <w:t>3</w:t>
          </w:r>
        </w:p>
      </w:tc>
    </w:tr>
    <w:tr w:rsidR="00CF2099" w14:paraId="278A0123" w14:textId="77777777" w:rsidTr="00020A44">
      <w:trPr>
        <w:cantSplit/>
        <w:trHeight w:val="76"/>
      </w:trPr>
      <w:tc>
        <w:tcPr>
          <w:tcW w:w="1926" w:type="dxa"/>
          <w:vMerge/>
          <w:tcBorders>
            <w:left w:val="single" w:sz="4" w:space="0" w:color="auto"/>
            <w:right w:val="single" w:sz="4" w:space="0" w:color="auto"/>
          </w:tcBorders>
          <w:shd w:val="clear" w:color="auto" w:fill="FFFFFF"/>
          <w:vAlign w:val="center"/>
        </w:tcPr>
        <w:p w14:paraId="07CAE372" w14:textId="77777777" w:rsidR="00CF2099" w:rsidRDefault="00CF2099" w:rsidP="00CF2099">
          <w:pPr>
            <w:pStyle w:val="Header"/>
            <w:rPr>
              <w:rFonts w:ascii="Arial" w:hAnsi="Arial"/>
              <w:sz w:val="22"/>
              <w:szCs w:val="22"/>
            </w:rPr>
          </w:pPr>
        </w:p>
      </w:tc>
      <w:tc>
        <w:tcPr>
          <w:tcW w:w="5162" w:type="dxa"/>
          <w:vMerge/>
          <w:tcBorders>
            <w:left w:val="single" w:sz="4" w:space="0" w:color="auto"/>
          </w:tcBorders>
        </w:tcPr>
        <w:p w14:paraId="0D844224" w14:textId="77777777" w:rsidR="00CF2099" w:rsidRPr="00B30C2D" w:rsidRDefault="00CF2099" w:rsidP="00CF2099">
          <w:pPr>
            <w:pStyle w:val="Header"/>
            <w:spacing w:before="200"/>
            <w:jc w:val="center"/>
            <w:rPr>
              <w:rFonts w:asciiTheme="minorHAnsi" w:hAnsiTheme="minorHAnsi"/>
            </w:rPr>
          </w:pPr>
        </w:p>
      </w:tc>
      <w:tc>
        <w:tcPr>
          <w:tcW w:w="1235" w:type="dxa"/>
          <w:vAlign w:val="center"/>
        </w:tcPr>
        <w:p w14:paraId="25EA1B9F" w14:textId="77777777" w:rsidR="00CF2099" w:rsidRPr="00B668BD" w:rsidRDefault="00CF2099" w:rsidP="00CF2099">
          <w:pPr>
            <w:rPr>
              <w:rFonts w:asciiTheme="minorHAnsi" w:hAnsiTheme="minorHAnsi"/>
              <w:sz w:val="16"/>
              <w:szCs w:val="16"/>
            </w:rPr>
          </w:pPr>
          <w:r w:rsidRPr="00B668BD">
            <w:rPr>
              <w:rFonts w:asciiTheme="minorHAnsi" w:hAnsiTheme="minorHAnsi"/>
              <w:sz w:val="16"/>
              <w:szCs w:val="16"/>
            </w:rPr>
            <w:t xml:space="preserve">Issue Date </w:t>
          </w:r>
        </w:p>
      </w:tc>
      <w:tc>
        <w:tcPr>
          <w:tcW w:w="1367" w:type="dxa"/>
          <w:vAlign w:val="center"/>
        </w:tcPr>
        <w:p w14:paraId="2132739D" w14:textId="3A595CBF" w:rsidR="00CF2099" w:rsidRPr="00B668BD" w:rsidRDefault="0031194A" w:rsidP="00CF2099">
          <w:pPr>
            <w:jc w:val="center"/>
            <w:rPr>
              <w:rFonts w:asciiTheme="minorHAnsi" w:hAnsiTheme="minorHAnsi"/>
              <w:sz w:val="16"/>
              <w:szCs w:val="16"/>
              <w:highlight w:val="yellow"/>
            </w:rPr>
          </w:pPr>
          <w:r>
            <w:rPr>
              <w:rFonts w:asciiTheme="minorHAnsi" w:hAnsiTheme="minorHAnsi"/>
              <w:sz w:val="16"/>
              <w:szCs w:val="16"/>
            </w:rPr>
            <w:t>01/11/202</w:t>
          </w:r>
          <w:r w:rsidR="00FB375D">
            <w:rPr>
              <w:rFonts w:asciiTheme="minorHAnsi" w:hAnsiTheme="minorHAnsi"/>
              <w:sz w:val="16"/>
              <w:szCs w:val="16"/>
            </w:rPr>
            <w:t>5</w:t>
          </w:r>
        </w:p>
      </w:tc>
    </w:tr>
    <w:tr w:rsidR="00CF2099" w14:paraId="314640C0" w14:textId="77777777" w:rsidTr="00020A44">
      <w:trPr>
        <w:cantSplit/>
        <w:trHeight w:val="68"/>
      </w:trPr>
      <w:tc>
        <w:tcPr>
          <w:tcW w:w="1926" w:type="dxa"/>
          <w:vMerge/>
          <w:tcBorders>
            <w:left w:val="single" w:sz="4" w:space="0" w:color="auto"/>
            <w:right w:val="single" w:sz="4" w:space="0" w:color="auto"/>
          </w:tcBorders>
          <w:shd w:val="clear" w:color="auto" w:fill="FFFFFF"/>
          <w:vAlign w:val="center"/>
        </w:tcPr>
        <w:p w14:paraId="745A70E8" w14:textId="77777777" w:rsidR="00CF2099" w:rsidRDefault="00CF2099" w:rsidP="00CF2099">
          <w:pPr>
            <w:pStyle w:val="Header"/>
            <w:rPr>
              <w:rFonts w:ascii="Arial" w:hAnsi="Arial"/>
              <w:i/>
              <w:color w:val="000000"/>
              <w:sz w:val="20"/>
            </w:rPr>
          </w:pPr>
        </w:p>
      </w:tc>
      <w:tc>
        <w:tcPr>
          <w:tcW w:w="5162" w:type="dxa"/>
          <w:vMerge/>
          <w:tcBorders>
            <w:left w:val="single" w:sz="4" w:space="0" w:color="auto"/>
          </w:tcBorders>
          <w:vAlign w:val="center"/>
        </w:tcPr>
        <w:p w14:paraId="4CAA6247" w14:textId="77777777" w:rsidR="00CF2099" w:rsidRPr="00B30C2D" w:rsidRDefault="00CF2099" w:rsidP="00CF2099">
          <w:pPr>
            <w:pStyle w:val="Header"/>
            <w:rPr>
              <w:rFonts w:asciiTheme="minorHAnsi" w:hAnsiTheme="minorHAnsi"/>
              <w:b/>
              <w:color w:val="008080"/>
            </w:rPr>
          </w:pPr>
        </w:p>
      </w:tc>
      <w:tc>
        <w:tcPr>
          <w:tcW w:w="1235" w:type="dxa"/>
          <w:tcBorders>
            <w:bottom w:val="single" w:sz="4" w:space="0" w:color="auto"/>
          </w:tcBorders>
          <w:vAlign w:val="center"/>
        </w:tcPr>
        <w:p w14:paraId="3F890A25" w14:textId="77777777" w:rsidR="00CF2099" w:rsidRPr="00B668BD" w:rsidRDefault="00CF2099" w:rsidP="00CF2099">
          <w:pPr>
            <w:rPr>
              <w:rFonts w:asciiTheme="minorHAnsi" w:hAnsiTheme="minorHAnsi"/>
              <w:sz w:val="16"/>
              <w:szCs w:val="16"/>
            </w:rPr>
          </w:pPr>
          <w:r>
            <w:rPr>
              <w:rFonts w:asciiTheme="minorHAnsi" w:hAnsiTheme="minorHAnsi"/>
              <w:sz w:val="16"/>
              <w:szCs w:val="16"/>
            </w:rPr>
            <w:t>Confidentiality</w:t>
          </w:r>
        </w:p>
      </w:tc>
      <w:tc>
        <w:tcPr>
          <w:tcW w:w="1367" w:type="dxa"/>
          <w:tcBorders>
            <w:bottom w:val="single" w:sz="4" w:space="0" w:color="auto"/>
          </w:tcBorders>
          <w:vAlign w:val="center"/>
        </w:tcPr>
        <w:p w14:paraId="07570ACE" w14:textId="1533C65B" w:rsidR="00CF2099" w:rsidRPr="00B668BD" w:rsidRDefault="00CF2099" w:rsidP="00CF2099">
          <w:pPr>
            <w:jc w:val="center"/>
            <w:rPr>
              <w:rFonts w:asciiTheme="minorHAnsi" w:hAnsiTheme="minorHAnsi"/>
              <w:sz w:val="16"/>
              <w:szCs w:val="16"/>
            </w:rPr>
          </w:pPr>
          <w:r>
            <w:rPr>
              <w:rFonts w:asciiTheme="minorHAnsi" w:hAnsiTheme="minorHAnsi"/>
              <w:sz w:val="16"/>
              <w:szCs w:val="16"/>
            </w:rPr>
            <w:t>Company</w:t>
          </w:r>
        </w:p>
      </w:tc>
    </w:tr>
    <w:tr w:rsidR="00CF2099" w14:paraId="48BDCF4C" w14:textId="77777777" w:rsidTr="00020A44">
      <w:trPr>
        <w:cantSplit/>
        <w:trHeight w:val="68"/>
      </w:trPr>
      <w:tc>
        <w:tcPr>
          <w:tcW w:w="1926" w:type="dxa"/>
          <w:vMerge/>
          <w:tcBorders>
            <w:left w:val="single" w:sz="4" w:space="0" w:color="auto"/>
            <w:bottom w:val="single" w:sz="4" w:space="0" w:color="auto"/>
            <w:right w:val="single" w:sz="4" w:space="0" w:color="auto"/>
          </w:tcBorders>
          <w:shd w:val="clear" w:color="auto" w:fill="FFFFFF"/>
          <w:vAlign w:val="center"/>
        </w:tcPr>
        <w:p w14:paraId="6F2EDD44" w14:textId="77777777" w:rsidR="00CF2099" w:rsidRDefault="00CF2099" w:rsidP="00CF2099">
          <w:pPr>
            <w:pStyle w:val="Header"/>
            <w:rPr>
              <w:rFonts w:ascii="Arial" w:hAnsi="Arial"/>
              <w:i/>
              <w:color w:val="000000"/>
              <w:sz w:val="20"/>
            </w:rPr>
          </w:pPr>
        </w:p>
      </w:tc>
      <w:tc>
        <w:tcPr>
          <w:tcW w:w="5162" w:type="dxa"/>
          <w:vMerge/>
          <w:tcBorders>
            <w:left w:val="single" w:sz="4" w:space="0" w:color="auto"/>
            <w:bottom w:val="single" w:sz="4" w:space="0" w:color="auto"/>
          </w:tcBorders>
          <w:vAlign w:val="center"/>
        </w:tcPr>
        <w:p w14:paraId="73EB5989" w14:textId="77777777" w:rsidR="00CF2099" w:rsidRPr="00B30C2D" w:rsidRDefault="00CF2099" w:rsidP="00CF2099">
          <w:pPr>
            <w:pStyle w:val="Header"/>
            <w:rPr>
              <w:rFonts w:asciiTheme="minorHAnsi" w:hAnsiTheme="minorHAnsi"/>
              <w:b/>
              <w:color w:val="008080"/>
            </w:rPr>
          </w:pPr>
        </w:p>
      </w:tc>
      <w:tc>
        <w:tcPr>
          <w:tcW w:w="1235" w:type="dxa"/>
          <w:tcBorders>
            <w:top w:val="single" w:sz="4" w:space="0" w:color="auto"/>
            <w:bottom w:val="single" w:sz="4" w:space="0" w:color="auto"/>
          </w:tcBorders>
          <w:vAlign w:val="center"/>
        </w:tcPr>
        <w:p w14:paraId="26D6C2E6" w14:textId="77777777" w:rsidR="00CF2099" w:rsidRPr="00B668BD" w:rsidRDefault="00CF2099" w:rsidP="00CF2099">
          <w:pPr>
            <w:jc w:val="center"/>
            <w:rPr>
              <w:rFonts w:asciiTheme="minorHAnsi" w:hAnsiTheme="minorHAnsi"/>
              <w:sz w:val="16"/>
              <w:szCs w:val="16"/>
            </w:rPr>
          </w:pPr>
        </w:p>
      </w:tc>
      <w:tc>
        <w:tcPr>
          <w:tcW w:w="1367" w:type="dxa"/>
          <w:tcBorders>
            <w:top w:val="single" w:sz="4" w:space="0" w:color="auto"/>
          </w:tcBorders>
          <w:vAlign w:val="center"/>
        </w:tcPr>
        <w:p w14:paraId="17FFBB36" w14:textId="77777777" w:rsidR="00CF2099" w:rsidRPr="00B668BD" w:rsidRDefault="00CF2099" w:rsidP="00CF2099">
          <w:pPr>
            <w:jc w:val="center"/>
            <w:rPr>
              <w:rFonts w:asciiTheme="minorHAnsi" w:hAnsiTheme="minorHAnsi"/>
              <w:sz w:val="16"/>
              <w:szCs w:val="16"/>
            </w:rPr>
          </w:pPr>
          <w:r w:rsidRPr="00B668BD">
            <w:rPr>
              <w:rFonts w:asciiTheme="minorHAnsi" w:hAnsiTheme="minorHAnsi"/>
              <w:sz w:val="16"/>
              <w:szCs w:val="16"/>
            </w:rPr>
            <w:t xml:space="preserve">Page </w:t>
          </w:r>
          <w:r w:rsidRPr="00B668BD">
            <w:rPr>
              <w:rFonts w:asciiTheme="minorHAnsi" w:hAnsiTheme="minorHAnsi"/>
              <w:sz w:val="16"/>
              <w:szCs w:val="16"/>
            </w:rPr>
            <w:fldChar w:fldCharType="begin"/>
          </w:r>
          <w:r w:rsidRPr="00B668BD">
            <w:rPr>
              <w:rFonts w:asciiTheme="minorHAnsi" w:hAnsiTheme="minorHAnsi"/>
              <w:sz w:val="16"/>
              <w:szCs w:val="16"/>
            </w:rPr>
            <w:instrText xml:space="preserve"> PAGE </w:instrText>
          </w:r>
          <w:r w:rsidRPr="00B668BD">
            <w:rPr>
              <w:rFonts w:asciiTheme="minorHAnsi" w:hAnsiTheme="minorHAnsi"/>
              <w:sz w:val="16"/>
              <w:szCs w:val="16"/>
            </w:rPr>
            <w:fldChar w:fldCharType="separate"/>
          </w:r>
          <w:r>
            <w:rPr>
              <w:rFonts w:asciiTheme="minorHAnsi" w:hAnsiTheme="minorHAnsi"/>
              <w:noProof/>
              <w:sz w:val="16"/>
              <w:szCs w:val="16"/>
            </w:rPr>
            <w:t>1</w:t>
          </w:r>
          <w:r w:rsidRPr="00B668BD">
            <w:rPr>
              <w:rFonts w:asciiTheme="minorHAnsi" w:hAnsiTheme="minorHAnsi"/>
              <w:sz w:val="16"/>
              <w:szCs w:val="16"/>
            </w:rPr>
            <w:fldChar w:fldCharType="end"/>
          </w:r>
          <w:r w:rsidRPr="00B668BD">
            <w:rPr>
              <w:rFonts w:asciiTheme="minorHAnsi" w:hAnsiTheme="minorHAnsi"/>
              <w:sz w:val="16"/>
              <w:szCs w:val="16"/>
            </w:rPr>
            <w:t xml:space="preserve"> of </w:t>
          </w:r>
          <w:r w:rsidRPr="00B668BD">
            <w:rPr>
              <w:rFonts w:asciiTheme="minorHAnsi" w:hAnsiTheme="minorHAnsi"/>
              <w:sz w:val="16"/>
              <w:szCs w:val="16"/>
            </w:rPr>
            <w:fldChar w:fldCharType="begin"/>
          </w:r>
          <w:r w:rsidRPr="00B668BD">
            <w:rPr>
              <w:rFonts w:asciiTheme="minorHAnsi" w:hAnsiTheme="minorHAnsi"/>
              <w:sz w:val="16"/>
              <w:szCs w:val="16"/>
            </w:rPr>
            <w:instrText xml:space="preserve"> NUMPAGES </w:instrText>
          </w:r>
          <w:r w:rsidRPr="00B668BD">
            <w:rPr>
              <w:rFonts w:asciiTheme="minorHAnsi" w:hAnsiTheme="minorHAnsi"/>
              <w:sz w:val="16"/>
              <w:szCs w:val="16"/>
            </w:rPr>
            <w:fldChar w:fldCharType="separate"/>
          </w:r>
          <w:r>
            <w:rPr>
              <w:rFonts w:asciiTheme="minorHAnsi" w:hAnsiTheme="minorHAnsi"/>
              <w:noProof/>
              <w:sz w:val="16"/>
              <w:szCs w:val="16"/>
            </w:rPr>
            <w:t>1</w:t>
          </w:r>
          <w:r w:rsidRPr="00B668BD">
            <w:rPr>
              <w:rFonts w:asciiTheme="minorHAnsi" w:hAnsiTheme="minorHAnsi"/>
              <w:sz w:val="16"/>
              <w:szCs w:val="16"/>
            </w:rPr>
            <w:fldChar w:fldCharType="end"/>
          </w:r>
        </w:p>
      </w:tc>
    </w:tr>
  </w:tbl>
  <w:p w14:paraId="4DCCB2DE" w14:textId="77777777" w:rsidR="003D1399" w:rsidRDefault="003D1399" w:rsidP="00461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15A"/>
    <w:multiLevelType w:val="hybridMultilevel"/>
    <w:tmpl w:val="4812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86FE5"/>
    <w:multiLevelType w:val="hybridMultilevel"/>
    <w:tmpl w:val="CF50A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857BF"/>
    <w:multiLevelType w:val="hybridMultilevel"/>
    <w:tmpl w:val="F3628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D4282"/>
    <w:multiLevelType w:val="multilevel"/>
    <w:tmpl w:val="6000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E12EC"/>
    <w:multiLevelType w:val="hybridMultilevel"/>
    <w:tmpl w:val="4580D108"/>
    <w:lvl w:ilvl="0" w:tplc="774032B2">
      <w:numFmt w:val="bullet"/>
      <w:lvlText w:val="•"/>
      <w:lvlJc w:val="left"/>
      <w:pPr>
        <w:ind w:left="720" w:hanging="360"/>
      </w:pPr>
      <w:rPr>
        <w:rFonts w:ascii="Arial" w:eastAsia="Times New Roman" w:hAnsi="Arial" w:cs="Aria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615B2"/>
    <w:multiLevelType w:val="hybridMultilevel"/>
    <w:tmpl w:val="10B4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45D29"/>
    <w:multiLevelType w:val="multilevel"/>
    <w:tmpl w:val="614A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F43D8"/>
    <w:multiLevelType w:val="hybridMultilevel"/>
    <w:tmpl w:val="06544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A3263B"/>
    <w:multiLevelType w:val="hybridMultilevel"/>
    <w:tmpl w:val="1C88DD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6D5CA8"/>
    <w:multiLevelType w:val="hybridMultilevel"/>
    <w:tmpl w:val="BDCE2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4C63A5"/>
    <w:multiLevelType w:val="hybridMultilevel"/>
    <w:tmpl w:val="0736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56CE4"/>
    <w:multiLevelType w:val="multilevel"/>
    <w:tmpl w:val="89B0CF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80E48B1"/>
    <w:multiLevelType w:val="multilevel"/>
    <w:tmpl w:val="D8F0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734DC0"/>
    <w:multiLevelType w:val="multilevel"/>
    <w:tmpl w:val="225C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01BC3"/>
    <w:multiLevelType w:val="hybridMultilevel"/>
    <w:tmpl w:val="77A09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F09EA"/>
    <w:multiLevelType w:val="hybridMultilevel"/>
    <w:tmpl w:val="F0DEF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CA56B8"/>
    <w:multiLevelType w:val="hybridMultilevel"/>
    <w:tmpl w:val="1D9A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82449"/>
    <w:multiLevelType w:val="multilevel"/>
    <w:tmpl w:val="7166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372DD9"/>
    <w:multiLevelType w:val="hybridMultilevel"/>
    <w:tmpl w:val="47DE6F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BE5B46"/>
    <w:multiLevelType w:val="hybridMultilevel"/>
    <w:tmpl w:val="BBE4B74A"/>
    <w:lvl w:ilvl="0" w:tplc="774032B2">
      <w:numFmt w:val="bullet"/>
      <w:lvlText w:val="•"/>
      <w:lvlJc w:val="left"/>
      <w:pPr>
        <w:ind w:left="720" w:hanging="360"/>
      </w:pPr>
      <w:rPr>
        <w:rFonts w:ascii="Arial" w:eastAsia="Times New Roman" w:hAnsi="Arial" w:cs="Aria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4B5F01"/>
    <w:multiLevelType w:val="multilevel"/>
    <w:tmpl w:val="0BAC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791381"/>
    <w:multiLevelType w:val="multilevel"/>
    <w:tmpl w:val="F210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B32EF"/>
    <w:multiLevelType w:val="hybridMultilevel"/>
    <w:tmpl w:val="4C3A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46139D"/>
    <w:multiLevelType w:val="hybridMultilevel"/>
    <w:tmpl w:val="508C8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555C2C"/>
    <w:multiLevelType w:val="hybridMultilevel"/>
    <w:tmpl w:val="AC302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1A4BFB"/>
    <w:multiLevelType w:val="multilevel"/>
    <w:tmpl w:val="1D70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9A7634"/>
    <w:multiLevelType w:val="multilevel"/>
    <w:tmpl w:val="1390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6467B"/>
    <w:multiLevelType w:val="multilevel"/>
    <w:tmpl w:val="550A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904B45"/>
    <w:multiLevelType w:val="multilevel"/>
    <w:tmpl w:val="D81C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6415BA"/>
    <w:multiLevelType w:val="multilevel"/>
    <w:tmpl w:val="4DF2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4314E"/>
    <w:multiLevelType w:val="hybridMultilevel"/>
    <w:tmpl w:val="F1F62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D1C7336"/>
    <w:multiLevelType w:val="hybridMultilevel"/>
    <w:tmpl w:val="826A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10016E"/>
    <w:multiLevelType w:val="hybridMultilevel"/>
    <w:tmpl w:val="59904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B141A5"/>
    <w:multiLevelType w:val="multilevel"/>
    <w:tmpl w:val="4BA0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AB5989"/>
    <w:multiLevelType w:val="hybridMultilevel"/>
    <w:tmpl w:val="4D6465D8"/>
    <w:lvl w:ilvl="0" w:tplc="774032B2">
      <w:numFmt w:val="bullet"/>
      <w:lvlText w:val="•"/>
      <w:lvlJc w:val="left"/>
      <w:pPr>
        <w:ind w:left="720" w:hanging="360"/>
      </w:pPr>
      <w:rPr>
        <w:rFonts w:ascii="Arial" w:eastAsia="Times New Roman" w:hAnsi="Arial" w:cs="Aria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4905D4"/>
    <w:multiLevelType w:val="hybridMultilevel"/>
    <w:tmpl w:val="65D8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D25D93"/>
    <w:multiLevelType w:val="multilevel"/>
    <w:tmpl w:val="11D45B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EC86336"/>
    <w:multiLevelType w:val="hybridMultilevel"/>
    <w:tmpl w:val="6C6618B4"/>
    <w:lvl w:ilvl="0" w:tplc="9BEC3D62">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754C34"/>
    <w:multiLevelType w:val="hybridMultilevel"/>
    <w:tmpl w:val="1BF6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232B1C"/>
    <w:multiLevelType w:val="multilevel"/>
    <w:tmpl w:val="FEA0CCE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0" w15:restartNumberingAfterBreak="0">
    <w:nsid w:val="6EE22D28"/>
    <w:multiLevelType w:val="multilevel"/>
    <w:tmpl w:val="055A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B12157"/>
    <w:multiLevelType w:val="hybridMultilevel"/>
    <w:tmpl w:val="BE405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AA19F3"/>
    <w:multiLevelType w:val="multilevel"/>
    <w:tmpl w:val="6090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717B84"/>
    <w:multiLevelType w:val="hybridMultilevel"/>
    <w:tmpl w:val="AA22521C"/>
    <w:lvl w:ilvl="0" w:tplc="774032B2">
      <w:numFmt w:val="bullet"/>
      <w:lvlText w:val="•"/>
      <w:lvlJc w:val="left"/>
      <w:pPr>
        <w:ind w:left="720" w:hanging="360"/>
      </w:pPr>
      <w:rPr>
        <w:rFonts w:ascii="Arial" w:eastAsia="Times New Roman" w:hAnsi="Arial" w:cs="Aria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896C57"/>
    <w:multiLevelType w:val="multilevel"/>
    <w:tmpl w:val="4D96F3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42133007">
    <w:abstractNumId w:val="37"/>
  </w:num>
  <w:num w:numId="2" w16cid:durableId="671224277">
    <w:abstractNumId w:val="9"/>
  </w:num>
  <w:num w:numId="3" w16cid:durableId="70906560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3417614">
    <w:abstractNumId w:val="30"/>
  </w:num>
  <w:num w:numId="5" w16cid:durableId="926352997">
    <w:abstractNumId w:val="22"/>
  </w:num>
  <w:num w:numId="6" w16cid:durableId="2135980432">
    <w:abstractNumId w:val="14"/>
  </w:num>
  <w:num w:numId="7" w16cid:durableId="6357661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627886">
    <w:abstractNumId w:val="0"/>
  </w:num>
  <w:num w:numId="9" w16cid:durableId="196426687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6417620">
    <w:abstractNumId w:val="15"/>
  </w:num>
  <w:num w:numId="11" w16cid:durableId="1456169846">
    <w:abstractNumId w:val="5"/>
  </w:num>
  <w:num w:numId="12" w16cid:durableId="1649091415">
    <w:abstractNumId w:val="41"/>
  </w:num>
  <w:num w:numId="13" w16cid:durableId="377317984">
    <w:abstractNumId w:val="31"/>
  </w:num>
  <w:num w:numId="14" w16cid:durableId="806778404">
    <w:abstractNumId w:val="23"/>
  </w:num>
  <w:num w:numId="15" w16cid:durableId="1590894434">
    <w:abstractNumId w:val="12"/>
  </w:num>
  <w:num w:numId="16" w16cid:durableId="993292563">
    <w:abstractNumId w:val="3"/>
  </w:num>
  <w:num w:numId="17" w16cid:durableId="1191337001">
    <w:abstractNumId w:val="25"/>
  </w:num>
  <w:num w:numId="18" w16cid:durableId="55202306">
    <w:abstractNumId w:val="1"/>
  </w:num>
  <w:num w:numId="19" w16cid:durableId="2116244356">
    <w:abstractNumId w:val="10"/>
  </w:num>
  <w:num w:numId="20" w16cid:durableId="1480226733">
    <w:abstractNumId w:val="33"/>
  </w:num>
  <w:num w:numId="21" w16cid:durableId="1834876991">
    <w:abstractNumId w:val="29"/>
  </w:num>
  <w:num w:numId="22" w16cid:durableId="1879708147">
    <w:abstractNumId w:val="17"/>
  </w:num>
  <w:num w:numId="23" w16cid:durableId="54204159">
    <w:abstractNumId w:val="26"/>
  </w:num>
  <w:num w:numId="24" w16cid:durableId="1770463662">
    <w:abstractNumId w:val="40"/>
  </w:num>
  <w:num w:numId="25" w16cid:durableId="1714231802">
    <w:abstractNumId w:val="13"/>
  </w:num>
  <w:num w:numId="26" w16cid:durableId="2055812654">
    <w:abstractNumId w:val="6"/>
  </w:num>
  <w:num w:numId="27" w16cid:durableId="1906136880">
    <w:abstractNumId w:val="21"/>
  </w:num>
  <w:num w:numId="28" w16cid:durableId="257300436">
    <w:abstractNumId w:val="20"/>
  </w:num>
  <w:num w:numId="29" w16cid:durableId="1612474209">
    <w:abstractNumId w:val="27"/>
  </w:num>
  <w:num w:numId="30" w16cid:durableId="1081946798">
    <w:abstractNumId w:val="39"/>
  </w:num>
  <w:num w:numId="31" w16cid:durableId="784344401">
    <w:abstractNumId w:val="42"/>
  </w:num>
  <w:num w:numId="32" w16cid:durableId="1353920467">
    <w:abstractNumId w:val="28"/>
  </w:num>
  <w:num w:numId="33" w16cid:durableId="869880335">
    <w:abstractNumId w:val="16"/>
  </w:num>
  <w:num w:numId="34" w16cid:durableId="2067290476">
    <w:abstractNumId w:val="24"/>
  </w:num>
  <w:num w:numId="35" w16cid:durableId="369233880">
    <w:abstractNumId w:val="35"/>
  </w:num>
  <w:num w:numId="36" w16cid:durableId="1627850352">
    <w:abstractNumId w:val="7"/>
  </w:num>
  <w:num w:numId="37" w16cid:durableId="914437387">
    <w:abstractNumId w:val="2"/>
  </w:num>
  <w:num w:numId="38" w16cid:durableId="132404360">
    <w:abstractNumId w:val="38"/>
  </w:num>
  <w:num w:numId="39" w16cid:durableId="642008628">
    <w:abstractNumId w:val="32"/>
  </w:num>
  <w:num w:numId="40" w16cid:durableId="456875131">
    <w:abstractNumId w:val="18"/>
  </w:num>
  <w:num w:numId="41" w16cid:durableId="1666013195">
    <w:abstractNumId w:val="8"/>
  </w:num>
  <w:num w:numId="42" w16cid:durableId="1128277814">
    <w:abstractNumId w:val="4"/>
  </w:num>
  <w:num w:numId="43" w16cid:durableId="800734734">
    <w:abstractNumId w:val="43"/>
  </w:num>
  <w:num w:numId="44" w16cid:durableId="29956025">
    <w:abstractNumId w:val="19"/>
  </w:num>
  <w:num w:numId="45" w16cid:durableId="93154582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76"/>
    <w:rsid w:val="000038F8"/>
    <w:rsid w:val="00035393"/>
    <w:rsid w:val="000537C4"/>
    <w:rsid w:val="00054433"/>
    <w:rsid w:val="00087276"/>
    <w:rsid w:val="00091CA4"/>
    <w:rsid w:val="00094CDC"/>
    <w:rsid w:val="000C1214"/>
    <w:rsid w:val="000D153E"/>
    <w:rsid w:val="000D1C0B"/>
    <w:rsid w:val="000D6C3C"/>
    <w:rsid w:val="000E31BC"/>
    <w:rsid w:val="000E4287"/>
    <w:rsid w:val="0012176E"/>
    <w:rsid w:val="00134D4E"/>
    <w:rsid w:val="001460C9"/>
    <w:rsid w:val="00152BBB"/>
    <w:rsid w:val="00172A8A"/>
    <w:rsid w:val="00173591"/>
    <w:rsid w:val="00174531"/>
    <w:rsid w:val="001A5BF6"/>
    <w:rsid w:val="001A7E96"/>
    <w:rsid w:val="001E3203"/>
    <w:rsid w:val="001F45B2"/>
    <w:rsid w:val="0021477F"/>
    <w:rsid w:val="002215B4"/>
    <w:rsid w:val="00225284"/>
    <w:rsid w:val="00235363"/>
    <w:rsid w:val="00235968"/>
    <w:rsid w:val="002530CB"/>
    <w:rsid w:val="00262E5B"/>
    <w:rsid w:val="00266CAF"/>
    <w:rsid w:val="00294BFF"/>
    <w:rsid w:val="002A1F01"/>
    <w:rsid w:val="002B4187"/>
    <w:rsid w:val="002E496B"/>
    <w:rsid w:val="002F244B"/>
    <w:rsid w:val="003001F0"/>
    <w:rsid w:val="0031194A"/>
    <w:rsid w:val="00313B10"/>
    <w:rsid w:val="00316DA5"/>
    <w:rsid w:val="00325349"/>
    <w:rsid w:val="00333FD0"/>
    <w:rsid w:val="00363161"/>
    <w:rsid w:val="00364187"/>
    <w:rsid w:val="00365774"/>
    <w:rsid w:val="00366DC4"/>
    <w:rsid w:val="003B0C4C"/>
    <w:rsid w:val="003C6EA6"/>
    <w:rsid w:val="003D1399"/>
    <w:rsid w:val="003E08A6"/>
    <w:rsid w:val="003E36A1"/>
    <w:rsid w:val="003F2468"/>
    <w:rsid w:val="003F6602"/>
    <w:rsid w:val="003F772C"/>
    <w:rsid w:val="0040127F"/>
    <w:rsid w:val="00407FE4"/>
    <w:rsid w:val="00412CF8"/>
    <w:rsid w:val="00416440"/>
    <w:rsid w:val="00434B32"/>
    <w:rsid w:val="00451FE9"/>
    <w:rsid w:val="00460469"/>
    <w:rsid w:val="00461560"/>
    <w:rsid w:val="00461D46"/>
    <w:rsid w:val="00467814"/>
    <w:rsid w:val="004825EA"/>
    <w:rsid w:val="00486DA6"/>
    <w:rsid w:val="00487B49"/>
    <w:rsid w:val="00497F78"/>
    <w:rsid w:val="004B3BE3"/>
    <w:rsid w:val="004E4F47"/>
    <w:rsid w:val="004F4DA3"/>
    <w:rsid w:val="005010DB"/>
    <w:rsid w:val="0051460B"/>
    <w:rsid w:val="00524023"/>
    <w:rsid w:val="00526C4C"/>
    <w:rsid w:val="005736C6"/>
    <w:rsid w:val="00581EFF"/>
    <w:rsid w:val="00585275"/>
    <w:rsid w:val="00593273"/>
    <w:rsid w:val="00593C45"/>
    <w:rsid w:val="005B225F"/>
    <w:rsid w:val="005D22EA"/>
    <w:rsid w:val="005D7687"/>
    <w:rsid w:val="005E0619"/>
    <w:rsid w:val="005F7C46"/>
    <w:rsid w:val="00612C29"/>
    <w:rsid w:val="006163DE"/>
    <w:rsid w:val="00617878"/>
    <w:rsid w:val="00620509"/>
    <w:rsid w:val="00620533"/>
    <w:rsid w:val="00631935"/>
    <w:rsid w:val="00640A5B"/>
    <w:rsid w:val="006427B7"/>
    <w:rsid w:val="0064683B"/>
    <w:rsid w:val="00654804"/>
    <w:rsid w:val="00656A1C"/>
    <w:rsid w:val="0067667A"/>
    <w:rsid w:val="00680510"/>
    <w:rsid w:val="00684C1B"/>
    <w:rsid w:val="006856A7"/>
    <w:rsid w:val="006938EC"/>
    <w:rsid w:val="00695577"/>
    <w:rsid w:val="006A3868"/>
    <w:rsid w:val="006C50F7"/>
    <w:rsid w:val="006C7C16"/>
    <w:rsid w:val="00773B3F"/>
    <w:rsid w:val="00781F8E"/>
    <w:rsid w:val="007A1425"/>
    <w:rsid w:val="007A319C"/>
    <w:rsid w:val="007C2645"/>
    <w:rsid w:val="007C723B"/>
    <w:rsid w:val="007D48B6"/>
    <w:rsid w:val="007E0089"/>
    <w:rsid w:val="007E1CE8"/>
    <w:rsid w:val="007F294C"/>
    <w:rsid w:val="007F66B2"/>
    <w:rsid w:val="007F6C19"/>
    <w:rsid w:val="0082289C"/>
    <w:rsid w:val="00845850"/>
    <w:rsid w:val="00847DA6"/>
    <w:rsid w:val="00854950"/>
    <w:rsid w:val="008557F1"/>
    <w:rsid w:val="00862073"/>
    <w:rsid w:val="008725AE"/>
    <w:rsid w:val="00883B63"/>
    <w:rsid w:val="008874CA"/>
    <w:rsid w:val="00892FCD"/>
    <w:rsid w:val="008A6ED8"/>
    <w:rsid w:val="008C2FAD"/>
    <w:rsid w:val="008D175E"/>
    <w:rsid w:val="008D6627"/>
    <w:rsid w:val="008F0058"/>
    <w:rsid w:val="0090517A"/>
    <w:rsid w:val="00906E78"/>
    <w:rsid w:val="00912B92"/>
    <w:rsid w:val="00927D5B"/>
    <w:rsid w:val="0095522F"/>
    <w:rsid w:val="0096027B"/>
    <w:rsid w:val="00961A8E"/>
    <w:rsid w:val="00964DA7"/>
    <w:rsid w:val="0097361B"/>
    <w:rsid w:val="009A1BD0"/>
    <w:rsid w:val="00A075F9"/>
    <w:rsid w:val="00A21B00"/>
    <w:rsid w:val="00A24ABF"/>
    <w:rsid w:val="00A32646"/>
    <w:rsid w:val="00A4327B"/>
    <w:rsid w:val="00A442BC"/>
    <w:rsid w:val="00A47791"/>
    <w:rsid w:val="00A54F02"/>
    <w:rsid w:val="00A70446"/>
    <w:rsid w:val="00A9532E"/>
    <w:rsid w:val="00AB2C4F"/>
    <w:rsid w:val="00AB58A4"/>
    <w:rsid w:val="00AC721D"/>
    <w:rsid w:val="00B04465"/>
    <w:rsid w:val="00B13557"/>
    <w:rsid w:val="00B203DA"/>
    <w:rsid w:val="00B3367A"/>
    <w:rsid w:val="00B358D5"/>
    <w:rsid w:val="00B50EE2"/>
    <w:rsid w:val="00B512E4"/>
    <w:rsid w:val="00BC5BC3"/>
    <w:rsid w:val="00BD16CE"/>
    <w:rsid w:val="00BE047C"/>
    <w:rsid w:val="00C011A1"/>
    <w:rsid w:val="00C029E7"/>
    <w:rsid w:val="00C239B2"/>
    <w:rsid w:val="00C2738D"/>
    <w:rsid w:val="00C3792B"/>
    <w:rsid w:val="00C4030D"/>
    <w:rsid w:val="00C44BF4"/>
    <w:rsid w:val="00C44CCC"/>
    <w:rsid w:val="00C55004"/>
    <w:rsid w:val="00C5671B"/>
    <w:rsid w:val="00C642D2"/>
    <w:rsid w:val="00C83DAD"/>
    <w:rsid w:val="00C9474C"/>
    <w:rsid w:val="00C9480A"/>
    <w:rsid w:val="00C96214"/>
    <w:rsid w:val="00CA2A49"/>
    <w:rsid w:val="00CB25F3"/>
    <w:rsid w:val="00CC3E47"/>
    <w:rsid w:val="00CD7B3B"/>
    <w:rsid w:val="00CE6592"/>
    <w:rsid w:val="00CF2099"/>
    <w:rsid w:val="00CF4B40"/>
    <w:rsid w:val="00D36BE2"/>
    <w:rsid w:val="00D52800"/>
    <w:rsid w:val="00D6774E"/>
    <w:rsid w:val="00D70A48"/>
    <w:rsid w:val="00D72437"/>
    <w:rsid w:val="00D9332A"/>
    <w:rsid w:val="00DA250F"/>
    <w:rsid w:val="00DA289D"/>
    <w:rsid w:val="00DC4CC9"/>
    <w:rsid w:val="00DD7786"/>
    <w:rsid w:val="00DE3428"/>
    <w:rsid w:val="00DE577D"/>
    <w:rsid w:val="00DF214E"/>
    <w:rsid w:val="00DF529E"/>
    <w:rsid w:val="00E106C8"/>
    <w:rsid w:val="00E2349D"/>
    <w:rsid w:val="00E3110B"/>
    <w:rsid w:val="00E521F3"/>
    <w:rsid w:val="00E54FC8"/>
    <w:rsid w:val="00E64DFE"/>
    <w:rsid w:val="00E7695B"/>
    <w:rsid w:val="00E87D3A"/>
    <w:rsid w:val="00EB1D28"/>
    <w:rsid w:val="00EE29ED"/>
    <w:rsid w:val="00F01938"/>
    <w:rsid w:val="00F16C97"/>
    <w:rsid w:val="00F215DB"/>
    <w:rsid w:val="00F27C12"/>
    <w:rsid w:val="00F30094"/>
    <w:rsid w:val="00F31F3F"/>
    <w:rsid w:val="00F3221F"/>
    <w:rsid w:val="00F3415B"/>
    <w:rsid w:val="00F3483E"/>
    <w:rsid w:val="00F94155"/>
    <w:rsid w:val="00FA21DA"/>
    <w:rsid w:val="00FA4610"/>
    <w:rsid w:val="00FB375D"/>
    <w:rsid w:val="00FC7B5A"/>
    <w:rsid w:val="00FF4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82623"/>
  <w15:docId w15:val="{D043946E-CEDE-4898-8300-37E8A951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2E5B"/>
    <w:rPr>
      <w:sz w:val="24"/>
      <w:szCs w:val="24"/>
    </w:rPr>
  </w:style>
  <w:style w:type="paragraph" w:styleId="Heading5">
    <w:name w:val="heading 5"/>
    <w:basedOn w:val="Normal"/>
    <w:next w:val="Normal"/>
    <w:link w:val="Heading5Char"/>
    <w:qFormat/>
    <w:rsid w:val="0096027B"/>
    <w:pPr>
      <w:keepNext/>
      <w:outlineLvl w:val="4"/>
    </w:pPr>
    <w:rPr>
      <w:rFonts w:ascii="Univers" w:hAnsi="Univers"/>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1A8E"/>
    <w:pPr>
      <w:tabs>
        <w:tab w:val="center" w:pos="4320"/>
        <w:tab w:val="right" w:pos="8640"/>
      </w:tabs>
    </w:pPr>
  </w:style>
  <w:style w:type="paragraph" w:styleId="Footer">
    <w:name w:val="footer"/>
    <w:basedOn w:val="Normal"/>
    <w:link w:val="FooterChar"/>
    <w:rsid w:val="00961A8E"/>
    <w:pPr>
      <w:tabs>
        <w:tab w:val="center" w:pos="4320"/>
        <w:tab w:val="right" w:pos="8640"/>
      </w:tabs>
    </w:pPr>
  </w:style>
  <w:style w:type="paragraph" w:styleId="BalloonText">
    <w:name w:val="Balloon Text"/>
    <w:basedOn w:val="Normal"/>
    <w:link w:val="BalloonTextChar"/>
    <w:rsid w:val="00B04465"/>
    <w:rPr>
      <w:rFonts w:ascii="Tahoma" w:hAnsi="Tahoma" w:cs="Tahoma"/>
      <w:sz w:val="16"/>
      <w:szCs w:val="16"/>
    </w:rPr>
  </w:style>
  <w:style w:type="character" w:customStyle="1" w:styleId="BalloonTextChar">
    <w:name w:val="Balloon Text Char"/>
    <w:basedOn w:val="DefaultParagraphFont"/>
    <w:link w:val="BalloonText"/>
    <w:rsid w:val="00B04465"/>
    <w:rPr>
      <w:rFonts w:ascii="Tahoma" w:hAnsi="Tahoma" w:cs="Tahoma"/>
      <w:sz w:val="16"/>
      <w:szCs w:val="16"/>
    </w:rPr>
  </w:style>
  <w:style w:type="paragraph" w:customStyle="1" w:styleId="body">
    <w:name w:val="body"/>
    <w:basedOn w:val="Normal"/>
    <w:rsid w:val="00C9474C"/>
    <w:pPr>
      <w:spacing w:before="100" w:beforeAutospacing="1" w:after="100" w:afterAutospacing="1"/>
    </w:pPr>
    <w:rPr>
      <w:rFonts w:eastAsiaTheme="minorHAnsi"/>
    </w:rPr>
  </w:style>
  <w:style w:type="paragraph" w:styleId="ListParagraph">
    <w:name w:val="List Paragraph"/>
    <w:basedOn w:val="Normal"/>
    <w:uiPriority w:val="34"/>
    <w:qFormat/>
    <w:rsid w:val="00434B32"/>
    <w:pPr>
      <w:ind w:left="720"/>
      <w:contextualSpacing/>
    </w:pPr>
  </w:style>
  <w:style w:type="table" w:styleId="TableGrid">
    <w:name w:val="Table Grid"/>
    <w:basedOn w:val="TableNormal"/>
    <w:rsid w:val="00905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0517A"/>
    <w:rPr>
      <w:color w:val="0000FF" w:themeColor="hyperlink"/>
      <w:u w:val="single"/>
    </w:rPr>
  </w:style>
  <w:style w:type="character" w:customStyle="1" w:styleId="HeaderChar">
    <w:name w:val="Header Char"/>
    <w:basedOn w:val="DefaultParagraphFont"/>
    <w:link w:val="Header"/>
    <w:uiPriority w:val="99"/>
    <w:rsid w:val="00461560"/>
    <w:rPr>
      <w:sz w:val="24"/>
      <w:szCs w:val="24"/>
    </w:rPr>
  </w:style>
  <w:style w:type="character" w:styleId="FollowedHyperlink">
    <w:name w:val="FollowedHyperlink"/>
    <w:basedOn w:val="DefaultParagraphFont"/>
    <w:semiHidden/>
    <w:unhideWhenUsed/>
    <w:rsid w:val="00E54FC8"/>
    <w:rPr>
      <w:color w:val="800080" w:themeColor="followedHyperlink"/>
      <w:u w:val="single"/>
    </w:rPr>
  </w:style>
  <w:style w:type="character" w:styleId="CommentReference">
    <w:name w:val="annotation reference"/>
    <w:basedOn w:val="DefaultParagraphFont"/>
    <w:semiHidden/>
    <w:unhideWhenUsed/>
    <w:rsid w:val="00235968"/>
    <w:rPr>
      <w:sz w:val="16"/>
      <w:szCs w:val="16"/>
    </w:rPr>
  </w:style>
  <w:style w:type="paragraph" w:styleId="CommentText">
    <w:name w:val="annotation text"/>
    <w:basedOn w:val="Normal"/>
    <w:link w:val="CommentTextChar"/>
    <w:semiHidden/>
    <w:unhideWhenUsed/>
    <w:rsid w:val="00235968"/>
    <w:rPr>
      <w:sz w:val="20"/>
      <w:szCs w:val="20"/>
    </w:rPr>
  </w:style>
  <w:style w:type="character" w:customStyle="1" w:styleId="CommentTextChar">
    <w:name w:val="Comment Text Char"/>
    <w:basedOn w:val="DefaultParagraphFont"/>
    <w:link w:val="CommentText"/>
    <w:semiHidden/>
    <w:rsid w:val="00235968"/>
  </w:style>
  <w:style w:type="paragraph" w:styleId="CommentSubject">
    <w:name w:val="annotation subject"/>
    <w:basedOn w:val="CommentText"/>
    <w:next w:val="CommentText"/>
    <w:link w:val="CommentSubjectChar"/>
    <w:semiHidden/>
    <w:unhideWhenUsed/>
    <w:rsid w:val="00235968"/>
    <w:rPr>
      <w:b/>
      <w:bCs/>
    </w:rPr>
  </w:style>
  <w:style w:type="character" w:customStyle="1" w:styleId="CommentSubjectChar">
    <w:name w:val="Comment Subject Char"/>
    <w:basedOn w:val="CommentTextChar"/>
    <w:link w:val="CommentSubject"/>
    <w:semiHidden/>
    <w:rsid w:val="00235968"/>
    <w:rPr>
      <w:b/>
      <w:bCs/>
    </w:rPr>
  </w:style>
  <w:style w:type="character" w:customStyle="1" w:styleId="Heading5Char">
    <w:name w:val="Heading 5 Char"/>
    <w:basedOn w:val="DefaultParagraphFont"/>
    <w:link w:val="Heading5"/>
    <w:rsid w:val="0096027B"/>
    <w:rPr>
      <w:rFonts w:ascii="Univers" w:hAnsi="Univers"/>
      <w:b/>
      <w:sz w:val="24"/>
      <w:lang w:val="en-US" w:eastAsia="en-US"/>
    </w:rPr>
  </w:style>
  <w:style w:type="character" w:styleId="UnresolvedMention">
    <w:name w:val="Unresolved Mention"/>
    <w:basedOn w:val="DefaultParagraphFont"/>
    <w:uiPriority w:val="99"/>
    <w:semiHidden/>
    <w:unhideWhenUsed/>
    <w:rsid w:val="0096027B"/>
    <w:rPr>
      <w:color w:val="605E5C"/>
      <w:shd w:val="clear" w:color="auto" w:fill="E1DFDD"/>
    </w:rPr>
  </w:style>
  <w:style w:type="character" w:customStyle="1" w:styleId="FooterChar">
    <w:name w:val="Footer Char"/>
    <w:basedOn w:val="DefaultParagraphFont"/>
    <w:link w:val="Footer"/>
    <w:rsid w:val="005736C6"/>
    <w:rPr>
      <w:sz w:val="24"/>
      <w:szCs w:val="24"/>
    </w:rPr>
  </w:style>
  <w:style w:type="character" w:styleId="PageNumber">
    <w:name w:val="page number"/>
    <w:basedOn w:val="DefaultParagraphFont"/>
    <w:semiHidden/>
    <w:unhideWhenUsed/>
    <w:rsid w:val="00CD7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78224">
      <w:bodyDiv w:val="1"/>
      <w:marLeft w:val="0"/>
      <w:marRight w:val="0"/>
      <w:marTop w:val="0"/>
      <w:marBottom w:val="0"/>
      <w:divBdr>
        <w:top w:val="none" w:sz="0" w:space="0" w:color="auto"/>
        <w:left w:val="none" w:sz="0" w:space="0" w:color="auto"/>
        <w:bottom w:val="none" w:sz="0" w:space="0" w:color="auto"/>
        <w:right w:val="none" w:sz="0" w:space="0" w:color="auto"/>
      </w:divBdr>
    </w:div>
    <w:div w:id="1457260724">
      <w:bodyDiv w:val="1"/>
      <w:marLeft w:val="0"/>
      <w:marRight w:val="0"/>
      <w:marTop w:val="0"/>
      <w:marBottom w:val="0"/>
      <w:divBdr>
        <w:top w:val="none" w:sz="0" w:space="0" w:color="auto"/>
        <w:left w:val="none" w:sz="0" w:space="0" w:color="auto"/>
        <w:bottom w:val="none" w:sz="0" w:space="0" w:color="auto"/>
        <w:right w:val="none" w:sz="0" w:space="0" w:color="auto"/>
      </w:divBdr>
    </w:div>
    <w:div w:id="1703433840">
      <w:bodyDiv w:val="1"/>
      <w:marLeft w:val="0"/>
      <w:marRight w:val="0"/>
      <w:marTop w:val="0"/>
      <w:marBottom w:val="0"/>
      <w:divBdr>
        <w:top w:val="none" w:sz="0" w:space="0" w:color="auto"/>
        <w:left w:val="none" w:sz="0" w:space="0" w:color="auto"/>
        <w:bottom w:val="none" w:sz="0" w:space="0" w:color="auto"/>
        <w:right w:val="none" w:sz="0" w:space="0" w:color="auto"/>
      </w:divBdr>
    </w:div>
    <w:div w:id="1944336563">
      <w:bodyDiv w:val="1"/>
      <w:marLeft w:val="0"/>
      <w:marRight w:val="0"/>
      <w:marTop w:val="0"/>
      <w:marBottom w:val="0"/>
      <w:divBdr>
        <w:top w:val="none" w:sz="0" w:space="0" w:color="auto"/>
        <w:left w:val="none" w:sz="0" w:space="0" w:color="auto"/>
        <w:bottom w:val="none" w:sz="0" w:space="0" w:color="auto"/>
        <w:right w:val="none" w:sz="0" w:space="0" w:color="auto"/>
      </w:divBdr>
    </w:div>
    <w:div w:id="21364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steenforcement.co.uk/privacy-poli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0D471BD149445928CA29D9E5799E6" ma:contentTypeVersion="12" ma:contentTypeDescription="Create a new document." ma:contentTypeScope="" ma:versionID="7d01311217beb8e4ee81b665e7f832ba">
  <xsd:schema xmlns:xsd="http://www.w3.org/2001/XMLSchema" xmlns:xs="http://www.w3.org/2001/XMLSchema" xmlns:p="http://schemas.microsoft.com/office/2006/metadata/properties" xmlns:ns2="5121a056-c30a-4e9c-8927-da9ffc99559f" xmlns:ns3="4e3af645-781c-47f9-9e7a-ab67b6309da6" targetNamespace="http://schemas.microsoft.com/office/2006/metadata/properties" ma:root="true" ma:fieldsID="80623f577073c4fc4431c47fe3a25e9a" ns2:_="" ns3:_="">
    <xsd:import namespace="5121a056-c30a-4e9c-8927-da9ffc99559f"/>
    <xsd:import namespace="4e3af645-781c-47f9-9e7a-ab67b6309d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1a056-c30a-4e9c-8927-da9ffc995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3af645-781c-47f9-9e7a-ab67b6309d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C19A7-474B-42D3-8E07-A65F8FFD4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1a056-c30a-4e9c-8927-da9ffc99559f"/>
    <ds:schemaRef ds:uri="4e3af645-781c-47f9-9e7a-ab67b63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F0CD8-3E00-CE4E-B522-2ED7C89E542D}">
  <ds:schemaRefs>
    <ds:schemaRef ds:uri="http://schemas.openxmlformats.org/officeDocument/2006/bibliography"/>
  </ds:schemaRefs>
</ds:datastoreItem>
</file>

<file path=customXml/itemProps3.xml><?xml version="1.0" encoding="utf-8"?>
<ds:datastoreItem xmlns:ds="http://schemas.openxmlformats.org/officeDocument/2006/customXml" ds:itemID="{95EFF941-13A6-4A28-A5E4-2E57AE182B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7E8B33-E46F-49EF-856A-7F7DE1041E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Sample Health &amp; Safety Policy</vt:lpstr>
    </vt:vector>
  </TitlesOfParts>
  <Company>NPTC</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Health &amp; Safety Policy</dc:title>
  <dc:creator>thomway</dc:creator>
  <cp:lastModifiedBy>John Dunne</cp:lastModifiedBy>
  <cp:revision>19</cp:revision>
  <cp:lastPrinted>2018-03-09T12:14:00Z</cp:lastPrinted>
  <dcterms:created xsi:type="dcterms:W3CDTF">2020-11-27T20:36:00Z</dcterms:created>
  <dcterms:modified xsi:type="dcterms:W3CDTF">2025-12-01T15:47:00Z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0x0101007390D471BD149445928CA29D9E5799E6</vt:lpwstr>
  </property>
</Properties>
</file>